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40B7E">
      <w:pPr>
        <w:pStyle w:val="1"/>
      </w:pPr>
      <w:bookmarkStart w:id="0" w:name="_GoBack"/>
      <w:bookmarkEnd w:id="0"/>
      <w:r>
        <w:t xml:space="preserve"> </w:t>
      </w:r>
      <w:r>
        <w:rPr>
          <w:rtl/>
        </w:rPr>
        <w:t>חוק עזר לאור עקיבא (פתיחת בתי עסק וסגירתם), תשכ"ד1964-</w:t>
      </w:r>
    </w:p>
    <w:p w:rsidR="00000000" w:rsidRDefault="00440B7E">
      <w:pPr>
        <w:pStyle w:val="a0"/>
        <w:ind w:left="2177" w:right="284"/>
      </w:pPr>
      <w:r>
        <w:rPr>
          <w:rtl/>
        </w:rPr>
        <w:t>פורסם:</w:t>
      </w:r>
      <w:r>
        <w:t xml:space="preserve"> </w:t>
      </w:r>
      <w:r>
        <w:tab/>
      </w:r>
      <w:r>
        <w:rPr>
          <w:rtl/>
        </w:rPr>
        <w:t xml:space="preserve"> ק"ת 1607,</w:t>
      </w:r>
      <w:r>
        <w:rPr>
          <w:rtl/>
        </w:rPr>
        <w:tab/>
        <w:t xml:space="preserve">תשכ"ד </w:t>
      </w:r>
      <w:r>
        <w:t>)</w:t>
      </w:r>
      <w:r>
        <w:rPr>
          <w:rtl/>
        </w:rPr>
        <w:t>23.7.1964</w:t>
      </w:r>
      <w:r>
        <w:t>(</w:t>
      </w:r>
      <w:r>
        <w:rPr>
          <w:rtl/>
        </w:rPr>
        <w:t>,</w:t>
      </w:r>
      <w:r>
        <w:rPr>
          <w:rtl/>
        </w:rPr>
        <w:tab/>
        <w:t>עמ' 1613</w:t>
      </w:r>
    </w:p>
    <w:p w:rsidR="00000000" w:rsidRDefault="00440B7E">
      <w:pPr>
        <w:pStyle w:val="a6"/>
      </w:pPr>
      <w:r>
        <w:rPr>
          <w:rtl/>
        </w:rPr>
        <w:t>בתוקף סמכותה לפי סעיף 9 לפקודת המועצות המקומיות, 1941, מתקינה המועצה המקומית אור-עקיבא חוק עזר זה:</w:t>
      </w:r>
    </w:p>
    <w:p w:rsidR="00000000" w:rsidRDefault="00440B7E">
      <w:pPr>
        <w:pStyle w:val="af0"/>
        <w:ind w:left="618" w:right="0"/>
      </w:pPr>
      <w:r>
        <w:rPr>
          <w:rtl/>
        </w:rPr>
        <w:t>הגדרות</w:t>
      </w:r>
    </w:p>
    <w:p w:rsidR="00000000" w:rsidRDefault="00440B7E">
      <w:pPr>
        <w:pStyle w:val="af1"/>
      </w:pPr>
      <w:r>
        <w:rPr>
          <w:bCs/>
          <w:rtl/>
        </w:rPr>
        <w:t xml:space="preserve">1. </w:t>
      </w:r>
      <w:r>
        <w:rPr>
          <w:bCs/>
          <w:rtl/>
        </w:rPr>
        <w:tab/>
      </w:r>
      <w:r>
        <w:rPr>
          <w:bCs/>
          <w:rtl/>
        </w:rPr>
        <w:tab/>
      </w:r>
      <w:r>
        <w:rPr>
          <w:rtl/>
        </w:rPr>
        <w:t xml:space="preserve">בחוק עזר זה </w:t>
      </w:r>
      <w:r>
        <w:t>-</w:t>
      </w:r>
    </w:p>
    <w:p w:rsidR="00000000" w:rsidRDefault="00440B7E">
      <w:pPr>
        <w:pStyle w:val="a4"/>
      </w:pPr>
      <w:r>
        <w:rPr>
          <w:bCs/>
          <w:rtl/>
        </w:rPr>
        <w:t xml:space="preserve">"המועצה" </w:t>
      </w:r>
      <w:r>
        <w:rPr>
          <w:bCs/>
        </w:rPr>
        <w:t xml:space="preserve"> -</w:t>
      </w:r>
      <w:r>
        <w:rPr>
          <w:rtl/>
        </w:rPr>
        <w:t>המועצה המק</w:t>
      </w:r>
      <w:r>
        <w:rPr>
          <w:rtl/>
        </w:rPr>
        <w:t>ומית אור עקיבא;</w:t>
      </w:r>
    </w:p>
    <w:p w:rsidR="00000000" w:rsidRDefault="00440B7E">
      <w:pPr>
        <w:pStyle w:val="a4"/>
      </w:pPr>
      <w:r>
        <w:rPr>
          <w:bCs/>
          <w:rtl/>
        </w:rPr>
        <w:t xml:space="preserve">"בית עסק" </w:t>
      </w:r>
      <w:r>
        <w:rPr>
          <w:bCs/>
        </w:rPr>
        <w:t xml:space="preserve"> -</w:t>
      </w:r>
      <w:r>
        <w:rPr>
          <w:rtl/>
        </w:rPr>
        <w:t>חנות, משרד, מחסן, קיוסק, מזנון, בית מלאכה וכל מקום אחר בתחום המועצה, שבו מתנהל עסק, נעשית מלאכה או מוחסנת סחורה, למעט בית אוכל, בית קפה, בית עינוג, מלון או פנסיון;</w:t>
      </w:r>
    </w:p>
    <w:p w:rsidR="00000000" w:rsidRDefault="00440B7E">
      <w:pPr>
        <w:pStyle w:val="a4"/>
      </w:pPr>
      <w:r>
        <w:rPr>
          <w:bCs/>
          <w:rtl/>
        </w:rPr>
        <w:t xml:space="preserve">"בית אוכל" </w:t>
      </w:r>
      <w:r>
        <w:rPr>
          <w:bCs/>
        </w:rPr>
        <w:t xml:space="preserve"> -</w:t>
      </w:r>
      <w:r>
        <w:rPr>
          <w:rtl/>
        </w:rPr>
        <w:t>כל מקום בתחום המועצה שבו מוכרים דברי אוכל או משקאות</w:t>
      </w:r>
      <w:r>
        <w:rPr>
          <w:rtl/>
        </w:rPr>
        <w:t xml:space="preserve"> לשם צריכתם בו במקום, למעט קיוסק או מזנון;</w:t>
      </w:r>
    </w:p>
    <w:p w:rsidR="00000000" w:rsidRDefault="00440B7E">
      <w:pPr>
        <w:pStyle w:val="a4"/>
      </w:pPr>
      <w:r>
        <w:rPr>
          <w:bCs/>
          <w:rtl/>
        </w:rPr>
        <w:t xml:space="preserve">"בית קפה" </w:t>
      </w:r>
      <w:r>
        <w:rPr>
          <w:bCs/>
        </w:rPr>
        <w:t xml:space="preserve"> -</w:t>
      </w:r>
      <w:r>
        <w:rPr>
          <w:rtl/>
        </w:rPr>
        <w:t xml:space="preserve">כל מקום בתחום המועצה שלגביו ניתן או יש לקבל רשיון לבית קפה על פי פקודת המלאכות והתעשיות </w:t>
      </w:r>
      <w:r>
        <w:t>)</w:t>
      </w:r>
      <w:r>
        <w:rPr>
          <w:rtl/>
        </w:rPr>
        <w:t>הסדרתן</w:t>
      </w:r>
      <w:r>
        <w:t>(</w:t>
      </w:r>
      <w:r>
        <w:rPr>
          <w:rtl/>
        </w:rPr>
        <w:t>;</w:t>
      </w:r>
    </w:p>
    <w:p w:rsidR="00000000" w:rsidRDefault="00440B7E">
      <w:pPr>
        <w:pStyle w:val="a4"/>
      </w:pPr>
      <w:r>
        <w:rPr>
          <w:bCs/>
          <w:rtl/>
        </w:rPr>
        <w:t xml:space="preserve">"בית עינוג" </w:t>
      </w:r>
      <w:r>
        <w:rPr>
          <w:bCs/>
        </w:rPr>
        <w:t xml:space="preserve"> -</w:t>
      </w:r>
      <w:r>
        <w:rPr>
          <w:rtl/>
        </w:rPr>
        <w:t>כל מקום בתחום המועצה שבו עורכים שעשוע ציבורי כמשמעותו בפקודת השעשועים הציבוריים, 1935;</w:t>
      </w:r>
    </w:p>
    <w:p w:rsidR="00000000" w:rsidRDefault="00440B7E">
      <w:pPr>
        <w:pStyle w:val="a4"/>
      </w:pPr>
      <w:r>
        <w:rPr>
          <w:bCs/>
          <w:rtl/>
        </w:rPr>
        <w:t>"י</w:t>
      </w:r>
      <w:r>
        <w:rPr>
          <w:bCs/>
          <w:rtl/>
        </w:rPr>
        <w:t xml:space="preserve">מי מנוחה" </w:t>
      </w:r>
      <w:r>
        <w:rPr>
          <w:bCs/>
        </w:rPr>
        <w:t xml:space="preserve"> -</w:t>
      </w:r>
      <w:r>
        <w:rPr>
          <w:rtl/>
        </w:rPr>
        <w:t>הימים שנקבעו בפקודת ימי מנוחה, תש"ח1948-, כימי מנוחה, שתחילתם חצי שעה לפני שקיעת החמה בערבי ימי המנוחה וסופם חצי שעה אחרי שקיעת החמה במוצאי ימי המנוחה, וכולל את ליל תשעה באב שתחילתו חצי שעה לפני שקיעת החמה וסופו בשעה 5 למחרתו;</w:t>
      </w:r>
    </w:p>
    <w:p w:rsidR="00000000" w:rsidRDefault="00440B7E">
      <w:pPr>
        <w:pStyle w:val="a4"/>
      </w:pPr>
      <w:r>
        <w:rPr>
          <w:bCs/>
          <w:rtl/>
        </w:rPr>
        <w:t xml:space="preserve">"פתוח" </w:t>
      </w:r>
      <w:r>
        <w:rPr>
          <w:bCs/>
        </w:rPr>
        <w:t xml:space="preserve"> -</w:t>
      </w:r>
      <w:r>
        <w:rPr>
          <w:rtl/>
        </w:rPr>
        <w:t>כולל עשי</w:t>
      </w:r>
      <w:r>
        <w:rPr>
          <w:rtl/>
        </w:rPr>
        <w:t>ית עסק, מלאכה או עינוג והגשת אוכל או משקה בתוך מקום סגור, לרבות אי סגירתו של מקום כזה על ידי האחראי לכך;</w:t>
      </w:r>
    </w:p>
    <w:p w:rsidR="00000000" w:rsidRDefault="00440B7E">
      <w:pPr>
        <w:pStyle w:val="a4"/>
      </w:pPr>
      <w:r>
        <w:rPr>
          <w:bCs/>
          <w:rtl/>
        </w:rPr>
        <w:t xml:space="preserve">"בעל" </w:t>
      </w:r>
      <w:r>
        <w:rPr>
          <w:bCs/>
        </w:rPr>
        <w:t xml:space="preserve"> -</w:t>
      </w:r>
      <w:r>
        <w:rPr>
          <w:rtl/>
        </w:rPr>
        <w:t>לרבות המנהל, כל עובד והאדם שעל שמו ניתן רשיון לבית עסק או לבית אוכל.</w:t>
      </w:r>
    </w:p>
    <w:p w:rsidR="00000000" w:rsidRDefault="00440B7E">
      <w:pPr>
        <w:pStyle w:val="af0"/>
        <w:ind w:left="618" w:right="0"/>
      </w:pPr>
      <w:r>
        <w:rPr>
          <w:rtl/>
        </w:rPr>
        <w:t>סגירת בתי עסק ובתי עינוג בימי מנוחה</w:t>
      </w:r>
    </w:p>
    <w:p w:rsidR="00000000" w:rsidRDefault="00440B7E">
      <w:pPr>
        <w:pStyle w:val="af1"/>
      </w:pPr>
      <w:r>
        <w:rPr>
          <w:bCs/>
          <w:rtl/>
        </w:rPr>
        <w:t xml:space="preserve">2. </w:t>
      </w:r>
      <w:r>
        <w:rPr>
          <w:bCs/>
          <w:rtl/>
        </w:rPr>
        <w:tab/>
      </w:r>
      <w:r>
        <w:rPr>
          <w:bCs/>
          <w:rtl/>
        </w:rPr>
        <w:tab/>
      </w:r>
      <w:r>
        <w:rPr>
          <w:rtl/>
        </w:rPr>
        <w:t>בימי מנוחה לא יפתח אדם ולא ירשה ב</w:t>
      </w:r>
      <w:r>
        <w:rPr>
          <w:rtl/>
        </w:rPr>
        <w:t>על לפתוח בית עסק או בית עינוג.</w:t>
      </w:r>
    </w:p>
    <w:p w:rsidR="00000000" w:rsidRDefault="00440B7E">
      <w:pPr>
        <w:pStyle w:val="af0"/>
        <w:ind w:left="618" w:right="0"/>
      </w:pPr>
      <w:r>
        <w:rPr>
          <w:rtl/>
        </w:rPr>
        <w:t>סגירת בתי עסק בימים שאינם ימי מנוחה</w:t>
      </w:r>
    </w:p>
    <w:p w:rsidR="00000000" w:rsidRDefault="00440B7E">
      <w:pPr>
        <w:pStyle w:val="af1"/>
      </w:pPr>
      <w:r>
        <w:rPr>
          <w:bCs/>
          <w:rtl/>
        </w:rPr>
        <w:t xml:space="preserve">3. </w:t>
      </w:r>
      <w:r>
        <w:rPr>
          <w:bCs/>
          <w:rtl/>
        </w:rPr>
        <w:tab/>
      </w:r>
      <w:r>
        <w:rPr>
          <w:bCs/>
          <w:rtl/>
        </w:rPr>
        <w:tab/>
      </w:r>
      <w:r>
        <w:t>)</w:t>
      </w:r>
      <w:r>
        <w:rPr>
          <w:rtl/>
        </w:rPr>
        <w:t>א</w:t>
      </w:r>
      <w:r>
        <w:t>(</w:t>
      </w:r>
      <w:r>
        <w:rPr>
          <w:rtl/>
        </w:rPr>
        <w:t xml:space="preserve"> בימים שאינם ימי מנוחה לא יפתח אדם ולא ירשה בעל בית עסק שלהלן לפתוח -</w:t>
      </w:r>
    </w:p>
    <w:p w:rsidR="00000000" w:rsidRDefault="00440B7E">
      <w:pPr>
        <w:pStyle w:val="2"/>
        <w:ind w:left="998" w:right="0"/>
      </w:pPr>
      <w:r>
        <w:t>)</w:t>
      </w:r>
      <w:r>
        <w:rPr>
          <w:rtl/>
        </w:rPr>
        <w:t>1</w:t>
      </w:r>
      <w:r>
        <w:t>(</w:t>
      </w:r>
      <w:r>
        <w:rPr>
          <w:rtl/>
        </w:rPr>
        <w:t xml:space="preserve"> חנות לממכר מזון:</w:t>
      </w:r>
    </w:p>
    <w:p w:rsidR="00000000" w:rsidRDefault="00440B7E">
      <w:pPr>
        <w:pStyle w:val="2"/>
        <w:ind w:left="998" w:right="0"/>
      </w:pPr>
      <w:r>
        <w:rPr>
          <w:rtl/>
        </w:rPr>
        <w:t xml:space="preserve">בקיץ </w:t>
      </w:r>
      <w:r>
        <w:t>-</w:t>
      </w:r>
      <w:r>
        <w:rPr>
          <w:rtl/>
        </w:rPr>
        <w:t xml:space="preserve"> בשעות שבין 20.00 ובין 06.00, ובימי שלישי בחודשים יולי ואוגוסט בשעות שבין 14.00 ובין</w:t>
      </w:r>
      <w:r>
        <w:rPr>
          <w:rtl/>
        </w:rPr>
        <w:t xml:space="preserve"> 20.00;</w:t>
      </w:r>
    </w:p>
    <w:p w:rsidR="00000000" w:rsidRDefault="00440B7E">
      <w:pPr>
        <w:pStyle w:val="2"/>
        <w:ind w:left="998" w:right="0"/>
      </w:pPr>
      <w:r>
        <w:rPr>
          <w:rtl/>
        </w:rPr>
        <w:t>בשאר ימי הקיץ בשעות שבין 20.00 ובין 06.00 ובשעות שבין 13.30 ובין 15.30;</w:t>
      </w:r>
    </w:p>
    <w:p w:rsidR="00000000" w:rsidRDefault="00440B7E">
      <w:pPr>
        <w:pStyle w:val="2"/>
        <w:ind w:left="998" w:right="0"/>
      </w:pPr>
      <w:r>
        <w:rPr>
          <w:rtl/>
        </w:rPr>
        <w:t xml:space="preserve">בחורף </w:t>
      </w:r>
      <w:r>
        <w:t>-</w:t>
      </w:r>
      <w:r>
        <w:rPr>
          <w:rtl/>
        </w:rPr>
        <w:t xml:space="preserve"> בשעות שבין 19.00 ובין 06.00 ובשעות שבין 13.30 ובין 15.30;</w:t>
      </w:r>
    </w:p>
    <w:p w:rsidR="00000000" w:rsidRDefault="00440B7E">
      <w:pPr>
        <w:pStyle w:val="2"/>
        <w:ind w:left="998" w:right="0"/>
      </w:pPr>
      <w:r>
        <w:t>)</w:t>
      </w:r>
      <w:r>
        <w:rPr>
          <w:rtl/>
        </w:rPr>
        <w:t>2</w:t>
      </w:r>
      <w:r>
        <w:t>(</w:t>
      </w:r>
      <w:r>
        <w:rPr>
          <w:rtl/>
        </w:rPr>
        <w:t xml:space="preserve"> קיוסק או מזנון לממכר שוקולדה, גלידה, סיגריות, עתונים או משקאות קרים לא משכרים </w:t>
      </w:r>
      <w:r>
        <w:t>-</w:t>
      </w:r>
      <w:r>
        <w:rPr>
          <w:rtl/>
        </w:rPr>
        <w:t xml:space="preserve"> בשעות שבין 24.00 ובין 05.0</w:t>
      </w:r>
      <w:r>
        <w:rPr>
          <w:rtl/>
        </w:rPr>
        <w:t>0;</w:t>
      </w:r>
    </w:p>
    <w:p w:rsidR="00000000" w:rsidRDefault="00440B7E">
      <w:pPr>
        <w:pStyle w:val="2"/>
        <w:ind w:left="998" w:right="0"/>
      </w:pPr>
      <w:r>
        <w:t>)</w:t>
      </w:r>
      <w:r>
        <w:rPr>
          <w:rtl/>
        </w:rPr>
        <w:t>3</w:t>
      </w:r>
      <w:r>
        <w:t>(</w:t>
      </w:r>
      <w:r>
        <w:rPr>
          <w:rtl/>
        </w:rPr>
        <w:t xml:space="preserve"> חנות לממכר פרחים, מזכרות, ספרים ועתונים </w:t>
      </w:r>
      <w:r>
        <w:t>-</w:t>
      </w:r>
      <w:r>
        <w:rPr>
          <w:rtl/>
        </w:rPr>
        <w:t xml:space="preserve"> בשעות שבין 22.00 ובין 05.00;</w:t>
      </w:r>
    </w:p>
    <w:p w:rsidR="00000000" w:rsidRDefault="00440B7E">
      <w:pPr>
        <w:pStyle w:val="2"/>
        <w:ind w:left="998" w:right="0"/>
      </w:pPr>
      <w:r>
        <w:t>)</w:t>
      </w:r>
      <w:r>
        <w:rPr>
          <w:rtl/>
        </w:rPr>
        <w:t>4</w:t>
      </w:r>
      <w:r>
        <w:t>(</w:t>
      </w:r>
      <w:r>
        <w:rPr>
          <w:rtl/>
        </w:rPr>
        <w:t xml:space="preserve"> בית מלאכה </w:t>
      </w:r>
      <w:r>
        <w:t>-</w:t>
      </w:r>
      <w:r>
        <w:rPr>
          <w:rtl/>
        </w:rPr>
        <w:t xml:space="preserve"> בשעות שבין 19.00 ובין 06.00;</w:t>
      </w:r>
    </w:p>
    <w:p w:rsidR="00000000" w:rsidRDefault="00440B7E">
      <w:pPr>
        <w:pStyle w:val="2"/>
        <w:ind w:left="998" w:right="0"/>
      </w:pPr>
      <w:r>
        <w:t>)</w:t>
      </w:r>
      <w:r>
        <w:rPr>
          <w:rtl/>
        </w:rPr>
        <w:t>5</w:t>
      </w:r>
      <w:r>
        <w:t>(</w:t>
      </w:r>
      <w:r>
        <w:rPr>
          <w:rtl/>
        </w:rPr>
        <w:t xml:space="preserve"> מספרה </w:t>
      </w:r>
      <w:r>
        <w:t>-</w:t>
      </w:r>
      <w:r>
        <w:rPr>
          <w:rtl/>
        </w:rPr>
        <w:t xml:space="preserve"> בשעות שבין 20.00 ובין 06.00;</w:t>
      </w:r>
    </w:p>
    <w:p w:rsidR="00000000" w:rsidRDefault="00440B7E">
      <w:pPr>
        <w:pStyle w:val="2"/>
        <w:ind w:left="998" w:right="0"/>
      </w:pPr>
      <w:r>
        <w:t>)</w:t>
      </w:r>
      <w:r>
        <w:rPr>
          <w:rtl/>
        </w:rPr>
        <w:t>6</w:t>
      </w:r>
      <w:r>
        <w:t>(</w:t>
      </w:r>
      <w:r>
        <w:rPr>
          <w:rtl/>
        </w:rPr>
        <w:t xml:space="preserve"> כל בית עסק שלא פורט בפסקאות </w:t>
      </w:r>
      <w:r>
        <w:t>)</w:t>
      </w:r>
      <w:r>
        <w:rPr>
          <w:rtl/>
        </w:rPr>
        <w:t>1</w:t>
      </w:r>
      <w:r>
        <w:t>(</w:t>
      </w:r>
      <w:r>
        <w:rPr>
          <w:rtl/>
        </w:rPr>
        <w:t xml:space="preserve"> עד </w:t>
      </w:r>
      <w:r>
        <w:t>)</w:t>
      </w:r>
      <w:r>
        <w:rPr>
          <w:rtl/>
        </w:rPr>
        <w:t>5</w:t>
      </w:r>
      <w:r>
        <w:t>(</w:t>
      </w:r>
      <w:r>
        <w:rPr>
          <w:rtl/>
        </w:rPr>
        <w:t>;</w:t>
      </w:r>
    </w:p>
    <w:p w:rsidR="00000000" w:rsidRDefault="00440B7E">
      <w:pPr>
        <w:pStyle w:val="2"/>
        <w:ind w:left="998" w:right="0"/>
      </w:pPr>
      <w:r>
        <w:rPr>
          <w:rtl/>
        </w:rPr>
        <w:t xml:space="preserve">בקיץ </w:t>
      </w:r>
      <w:r>
        <w:t>-</w:t>
      </w:r>
      <w:r>
        <w:rPr>
          <w:rtl/>
        </w:rPr>
        <w:t xml:space="preserve"> בשעות שבין 20.00 ובין 07.00 ובשעות שבין</w:t>
      </w:r>
      <w:r>
        <w:rPr>
          <w:rtl/>
        </w:rPr>
        <w:t xml:space="preserve"> 13.30 ובין 15.30;</w:t>
      </w:r>
    </w:p>
    <w:p w:rsidR="00000000" w:rsidRDefault="00440B7E">
      <w:pPr>
        <w:pStyle w:val="2"/>
        <w:ind w:left="998" w:right="0"/>
      </w:pPr>
      <w:r>
        <w:rPr>
          <w:rtl/>
        </w:rPr>
        <w:t xml:space="preserve">בחורף </w:t>
      </w:r>
      <w:r>
        <w:t>-</w:t>
      </w:r>
      <w:r>
        <w:rPr>
          <w:rtl/>
        </w:rPr>
        <w:t xml:space="preserve"> בשעות שבין 19.00 ובין 07.00 ובשעות שבין 13.30 ובין 15.30.</w:t>
      </w:r>
    </w:p>
    <w:p w:rsidR="00000000" w:rsidRDefault="00440B7E">
      <w:pPr>
        <w:pStyle w:val="12"/>
      </w:pPr>
      <w:r>
        <w:t>)</w:t>
      </w:r>
      <w:r>
        <w:rPr>
          <w:rtl/>
        </w:rPr>
        <w:t>ב</w:t>
      </w:r>
      <w:r>
        <w:t>(</w:t>
      </w:r>
      <w:r>
        <w:rPr>
          <w:rtl/>
        </w:rPr>
        <w:t xml:space="preserve"> על אף האמור בסעיף קטן </w:t>
      </w:r>
      <w:r>
        <w:t>)</w:t>
      </w:r>
      <w:r>
        <w:rPr>
          <w:rtl/>
        </w:rPr>
        <w:t>א</w:t>
      </w:r>
      <w:r>
        <w:t>(</w:t>
      </w:r>
      <w:r>
        <w:rPr>
          <w:rtl/>
        </w:rPr>
        <w:t xml:space="preserve"> לא יפתח אדם ולא ירשה בעל בית עסק לפתוח בית עסק כמפורט באותו סעיף קטן במוצאי ימי מנוחה, אולם בכל אחד מהימים כ"ג, כ"ד, כ"ה, כ"ו, כ"ז וכ"ח באלול</w:t>
      </w:r>
      <w:r>
        <w:rPr>
          <w:rtl/>
        </w:rPr>
        <w:t xml:space="preserve">; ח', י"א, י"ב וי"ג בתשרי; ז' באדר עד ט"ו בו; ח', ט', י', י"א, י"ב וי"ג בניסן; ב', ג', וד' בסיון </w:t>
      </w:r>
      <w:r>
        <w:t>-</w:t>
      </w:r>
      <w:r>
        <w:rPr>
          <w:rtl/>
        </w:rPr>
        <w:t xml:space="preserve"> מותר בו </w:t>
      </w:r>
      <w:r>
        <w:t>-</w:t>
      </w:r>
      <w:r>
        <w:rPr>
          <w:rtl/>
        </w:rPr>
        <w:t xml:space="preserve"> אם אינו חל בשבת </w:t>
      </w:r>
      <w:r>
        <w:t>-</w:t>
      </w:r>
      <w:r>
        <w:rPr>
          <w:rtl/>
        </w:rPr>
        <w:t xml:space="preserve"> לפתוח כל בית עסק עד שעה 22.00 וכן בכל יום ה' בשבוע מותר בו </w:t>
      </w:r>
      <w:r>
        <w:t>-</w:t>
      </w:r>
      <w:r>
        <w:rPr>
          <w:rtl/>
        </w:rPr>
        <w:t xml:space="preserve"> אם אינו חל במועדי ישראל </w:t>
      </w:r>
      <w:r>
        <w:t>-</w:t>
      </w:r>
      <w:r>
        <w:rPr>
          <w:rtl/>
        </w:rPr>
        <w:t xml:space="preserve"> לפתוח כל בית עסק עד השעה 22.00.</w:t>
      </w:r>
    </w:p>
    <w:p w:rsidR="00000000" w:rsidRDefault="00440B7E">
      <w:pPr>
        <w:pStyle w:val="12"/>
      </w:pPr>
      <w:r>
        <w:t>)</w:t>
      </w:r>
      <w:r>
        <w:rPr>
          <w:rtl/>
        </w:rPr>
        <w:t>ג</w:t>
      </w:r>
      <w:r>
        <w:t>(</w:t>
      </w:r>
      <w:r>
        <w:rPr>
          <w:rtl/>
        </w:rPr>
        <w:t xml:space="preserve"> בסעיף </w:t>
      </w:r>
      <w:r>
        <w:rPr>
          <w:rtl/>
        </w:rPr>
        <w:t xml:space="preserve">זה </w:t>
      </w:r>
      <w:r>
        <w:t>-</w:t>
      </w:r>
    </w:p>
    <w:p w:rsidR="00000000" w:rsidRDefault="00440B7E">
      <w:pPr>
        <w:pStyle w:val="a4"/>
      </w:pPr>
      <w:r>
        <w:rPr>
          <w:bCs/>
          <w:rtl/>
        </w:rPr>
        <w:t xml:space="preserve">"קיץ" </w:t>
      </w:r>
      <w:r>
        <w:rPr>
          <w:bCs/>
        </w:rPr>
        <w:t xml:space="preserve"> -</w:t>
      </w:r>
      <w:r>
        <w:rPr>
          <w:rtl/>
        </w:rPr>
        <w:t>התקופה מיום י"א בניסן עד יום א' בחשון;</w:t>
      </w:r>
    </w:p>
    <w:p w:rsidR="00000000" w:rsidRDefault="00440B7E">
      <w:pPr>
        <w:pStyle w:val="a4"/>
      </w:pPr>
      <w:r>
        <w:rPr>
          <w:bCs/>
          <w:rtl/>
        </w:rPr>
        <w:t xml:space="preserve">"חורף" </w:t>
      </w:r>
      <w:r>
        <w:rPr>
          <w:bCs/>
        </w:rPr>
        <w:t xml:space="preserve"> -</w:t>
      </w:r>
      <w:r>
        <w:rPr>
          <w:rtl/>
        </w:rPr>
        <w:t>התקופה מיום ב' בחשון עד יום י' בניסן.</w:t>
      </w:r>
    </w:p>
    <w:p w:rsidR="00000000" w:rsidRDefault="00440B7E">
      <w:pPr>
        <w:pStyle w:val="af0"/>
        <w:ind w:left="618" w:right="0"/>
      </w:pPr>
      <w:r>
        <w:rPr>
          <w:rtl/>
        </w:rPr>
        <w:t>סגירת בתי אוכל ובתי קפה בימי מנוחה</w:t>
      </w:r>
    </w:p>
    <w:p w:rsidR="00000000" w:rsidRDefault="00440B7E">
      <w:pPr>
        <w:pStyle w:val="af1"/>
      </w:pPr>
      <w:r>
        <w:rPr>
          <w:bCs/>
          <w:rtl/>
        </w:rPr>
        <w:t xml:space="preserve">4. </w:t>
      </w:r>
      <w:r>
        <w:rPr>
          <w:bCs/>
          <w:rtl/>
        </w:rPr>
        <w:tab/>
      </w:r>
      <w:r>
        <w:rPr>
          <w:bCs/>
          <w:rtl/>
        </w:rPr>
        <w:tab/>
      </w:r>
      <w:r>
        <w:t>)</w:t>
      </w:r>
      <w:r>
        <w:rPr>
          <w:rtl/>
        </w:rPr>
        <w:t>א</w:t>
      </w:r>
      <w:r>
        <w:t>(</w:t>
      </w:r>
      <w:r>
        <w:rPr>
          <w:rtl/>
        </w:rPr>
        <w:t xml:space="preserve"> ביום הכיפורים, בליל תשעה באב ובליל יום השואה לא יפתח אדם ולא ירשה בעל לפתוח בית אוכל או בית קפה.</w:t>
      </w:r>
    </w:p>
    <w:p w:rsidR="00000000" w:rsidRDefault="00440B7E">
      <w:pPr>
        <w:pStyle w:val="12"/>
      </w:pPr>
      <w:r>
        <w:t>)</w:t>
      </w:r>
      <w:r>
        <w:rPr>
          <w:rtl/>
        </w:rPr>
        <w:t>ב</w:t>
      </w:r>
      <w:r>
        <w:t>(</w:t>
      </w:r>
      <w:r>
        <w:rPr>
          <w:rtl/>
        </w:rPr>
        <w:t xml:space="preserve"> בימי מנוחה ש</w:t>
      </w:r>
      <w:r>
        <w:rPr>
          <w:rtl/>
        </w:rPr>
        <w:t xml:space="preserve">לא פורטו בסעיף קטן </w:t>
      </w:r>
      <w:r>
        <w:t>)</w:t>
      </w:r>
      <w:r>
        <w:rPr>
          <w:rtl/>
        </w:rPr>
        <w:t>א</w:t>
      </w:r>
      <w:r>
        <w:t>(</w:t>
      </w:r>
      <w:r>
        <w:rPr>
          <w:rtl/>
        </w:rPr>
        <w:t xml:space="preserve"> לא יפתח אדם ולא ירשה בעל לפתוח בית אוכל או בית קפה </w:t>
      </w:r>
      <w:r>
        <w:t>-</w:t>
      </w:r>
      <w:r>
        <w:rPr>
          <w:rtl/>
        </w:rPr>
        <w:t xml:space="preserve"> בשעות שבין 22.00 ובין 10.00 ובשעות שבין 15.00 ובין זמן צאת הכוכבים.</w:t>
      </w:r>
    </w:p>
    <w:p w:rsidR="00000000" w:rsidRDefault="00440B7E">
      <w:pPr>
        <w:pStyle w:val="12"/>
      </w:pPr>
      <w:r>
        <w:lastRenderedPageBreak/>
        <w:t>)</w:t>
      </w:r>
      <w:r>
        <w:rPr>
          <w:rtl/>
        </w:rPr>
        <w:t>ג</w:t>
      </w:r>
      <w:r>
        <w:t>(</w:t>
      </w:r>
      <w:r>
        <w:rPr>
          <w:rtl/>
        </w:rPr>
        <w:t xml:space="preserve"> בימי מנוחה </w:t>
      </w:r>
      <w:r>
        <w:t>-</w:t>
      </w:r>
      <w:r>
        <w:rPr>
          <w:rtl/>
        </w:rPr>
        <w:t xml:space="preserve"> אף בשעות שפתיחת בית אוכל או בית קפה מותרת </w:t>
      </w:r>
      <w:r>
        <w:t>-</w:t>
      </w:r>
      <w:r>
        <w:rPr>
          <w:rtl/>
        </w:rPr>
        <w:t xml:space="preserve"> לא יגיש בו אדם ולא ירשה בעל להגיש אוכל או משקה בליו</w:t>
      </w:r>
      <w:r>
        <w:rPr>
          <w:rtl/>
        </w:rPr>
        <w:t>וי שעשועים, נגינה או כיוצא באלה.</w:t>
      </w:r>
    </w:p>
    <w:p w:rsidR="00000000" w:rsidRDefault="00440B7E">
      <w:pPr>
        <w:pStyle w:val="af0"/>
        <w:ind w:left="618" w:right="0"/>
      </w:pPr>
      <w:r>
        <w:rPr>
          <w:rtl/>
        </w:rPr>
        <w:t>סגירת בתי אוכל ובתי קפה בימים שאינם ימי מנוחה</w:t>
      </w:r>
    </w:p>
    <w:p w:rsidR="00000000" w:rsidRDefault="00440B7E">
      <w:pPr>
        <w:pStyle w:val="af1"/>
      </w:pPr>
      <w:r>
        <w:rPr>
          <w:bCs/>
          <w:rtl/>
        </w:rPr>
        <w:t xml:space="preserve">5. </w:t>
      </w:r>
      <w:r>
        <w:rPr>
          <w:bCs/>
          <w:rtl/>
        </w:rPr>
        <w:tab/>
      </w:r>
      <w:r>
        <w:rPr>
          <w:bCs/>
          <w:rtl/>
        </w:rPr>
        <w:tab/>
      </w:r>
      <w:r>
        <w:t>)</w:t>
      </w:r>
      <w:r>
        <w:rPr>
          <w:rtl/>
        </w:rPr>
        <w:t>א</w:t>
      </w:r>
      <w:r>
        <w:t>(</w:t>
      </w:r>
      <w:r>
        <w:rPr>
          <w:rtl/>
        </w:rPr>
        <w:t xml:space="preserve"> בימים שאינם ימי מנוחה לא יפתח אדם ולא ירשה בעל לפתוח </w:t>
      </w:r>
      <w:r>
        <w:t>-</w:t>
      </w:r>
    </w:p>
    <w:p w:rsidR="00000000" w:rsidRDefault="00440B7E">
      <w:pPr>
        <w:pStyle w:val="2"/>
        <w:ind w:left="998" w:right="0"/>
      </w:pPr>
      <w:r>
        <w:t>)</w:t>
      </w:r>
      <w:r>
        <w:rPr>
          <w:rtl/>
        </w:rPr>
        <w:t>1</w:t>
      </w:r>
      <w:r>
        <w:t>(</w:t>
      </w:r>
      <w:r>
        <w:rPr>
          <w:rtl/>
        </w:rPr>
        <w:t xml:space="preserve"> בית אוכל </w:t>
      </w:r>
      <w:r>
        <w:t>-</w:t>
      </w:r>
      <w:r>
        <w:rPr>
          <w:rtl/>
        </w:rPr>
        <w:t xml:space="preserve"> בשעות שבין 24.00 ובין 05.00, אלא אם ניתן לו לכך היתר בכתב מאת המועצה;</w:t>
      </w:r>
    </w:p>
    <w:p w:rsidR="00000000" w:rsidRDefault="00440B7E">
      <w:pPr>
        <w:pStyle w:val="2"/>
        <w:ind w:left="998" w:right="0"/>
      </w:pPr>
      <w:r>
        <w:t>)</w:t>
      </w:r>
      <w:r>
        <w:rPr>
          <w:rtl/>
        </w:rPr>
        <w:t>2</w:t>
      </w:r>
      <w:r>
        <w:t>(</w:t>
      </w:r>
      <w:r>
        <w:rPr>
          <w:rtl/>
        </w:rPr>
        <w:t xml:space="preserve"> בית קפה </w:t>
      </w:r>
      <w:r>
        <w:t>-</w:t>
      </w:r>
      <w:r>
        <w:rPr>
          <w:rtl/>
        </w:rPr>
        <w:t xml:space="preserve"> בשעות שבין 01.</w:t>
      </w:r>
      <w:r>
        <w:rPr>
          <w:rtl/>
        </w:rPr>
        <w:t>00 ובין 05.00, אלא אם ניתן לו לכך היתר בכתב מאת המועצה, ובלבד שכל נגינה תופסק בו בשעה 24.00.</w:t>
      </w:r>
    </w:p>
    <w:p w:rsidR="00000000" w:rsidRDefault="00440B7E">
      <w:pPr>
        <w:pStyle w:val="12"/>
      </w:pPr>
      <w:r>
        <w:t>)</w:t>
      </w:r>
      <w:r>
        <w:rPr>
          <w:rtl/>
        </w:rPr>
        <w:t>ב</w:t>
      </w:r>
      <w:r>
        <w:t>(</w:t>
      </w:r>
      <w:r>
        <w:rPr>
          <w:rtl/>
        </w:rPr>
        <w:t xml:space="preserve"> המועצה רשאית לתת היתר לפי סעיף זה, לסרב לתיתו, לבטלו או להתלותו, לכלול בו תנאים, להוסיף עליהם וכן לשנותם.</w:t>
      </w:r>
    </w:p>
    <w:p w:rsidR="00000000" w:rsidRDefault="00440B7E">
      <w:pPr>
        <w:pStyle w:val="af0"/>
        <w:ind w:left="618" w:right="0"/>
      </w:pPr>
      <w:r>
        <w:rPr>
          <w:rtl/>
        </w:rPr>
        <w:t>תחולה</w:t>
      </w:r>
    </w:p>
    <w:p w:rsidR="00000000" w:rsidRDefault="00440B7E">
      <w:pPr>
        <w:pStyle w:val="af1"/>
      </w:pPr>
      <w:r>
        <w:rPr>
          <w:bCs/>
          <w:rtl/>
        </w:rPr>
        <w:t xml:space="preserve">6. </w:t>
      </w:r>
      <w:r>
        <w:rPr>
          <w:bCs/>
          <w:rtl/>
        </w:rPr>
        <w:tab/>
      </w:r>
      <w:r>
        <w:rPr>
          <w:bCs/>
          <w:rtl/>
        </w:rPr>
        <w:tab/>
      </w:r>
      <w:r>
        <w:t>)</w:t>
      </w:r>
      <w:r>
        <w:rPr>
          <w:rtl/>
        </w:rPr>
        <w:t>א</w:t>
      </w:r>
      <w:r>
        <w:t>(</w:t>
      </w:r>
      <w:r>
        <w:rPr>
          <w:rtl/>
        </w:rPr>
        <w:t xml:space="preserve"> הוראות הסעיפים 2 ו4- לא יחולו על בית ע</w:t>
      </w:r>
      <w:r>
        <w:rPr>
          <w:rtl/>
        </w:rPr>
        <w:t>סק, בית עינוג או בית אוכל שבעלו אינו יהודי ואינו פותח אותו בימי מנוחתם של בני עדתו.</w:t>
      </w:r>
    </w:p>
    <w:p w:rsidR="00000000" w:rsidRDefault="00440B7E">
      <w:pPr>
        <w:pStyle w:val="12"/>
      </w:pPr>
      <w:r>
        <w:t>)</w:t>
      </w:r>
      <w:r>
        <w:rPr>
          <w:rtl/>
        </w:rPr>
        <w:t>ב</w:t>
      </w:r>
      <w:r>
        <w:t>(</w:t>
      </w:r>
      <w:r>
        <w:rPr>
          <w:rtl/>
        </w:rPr>
        <w:t xml:space="preserve"> הוראות הסעיפים 4 ו5- לא יחולו על הספקת דברי אוכל או משקאות במלון, פנסיון, אכסניה ובכל מקום כיוצא באלה לאנשים המתאכסנים בו והצורכים את דברי האוכל או את המשקאות בו במקום.</w:t>
      </w:r>
    </w:p>
    <w:p w:rsidR="00000000" w:rsidRDefault="00440B7E">
      <w:pPr>
        <w:pStyle w:val="af0"/>
        <w:ind w:left="618" w:right="0"/>
      </w:pPr>
      <w:r>
        <w:rPr>
          <w:rtl/>
        </w:rPr>
        <w:t>עונשים</w:t>
      </w:r>
    </w:p>
    <w:p w:rsidR="00000000" w:rsidRDefault="00440B7E">
      <w:pPr>
        <w:pStyle w:val="af1"/>
      </w:pPr>
      <w:r>
        <w:rPr>
          <w:bCs/>
          <w:rtl/>
        </w:rPr>
        <w:t xml:space="preserve">7. </w:t>
      </w:r>
      <w:r>
        <w:rPr>
          <w:bCs/>
          <w:rtl/>
        </w:rPr>
        <w:tab/>
      </w:r>
      <w:r>
        <w:rPr>
          <w:bCs/>
          <w:rtl/>
        </w:rPr>
        <w:tab/>
      </w:r>
      <w:r>
        <w:rPr>
          <w:rtl/>
        </w:rPr>
        <w:t xml:space="preserve">העובר על הוראה מהוראות חוק עזר זה, דינו </w:t>
      </w:r>
      <w:r>
        <w:t>-</w:t>
      </w:r>
      <w:r>
        <w:rPr>
          <w:rtl/>
        </w:rPr>
        <w:t xml:space="preserve"> קנס 900 שקלים חדשים</w:t>
      </w:r>
      <w:r>
        <w:t>.*</w:t>
      </w:r>
    </w:p>
    <w:p w:rsidR="00000000" w:rsidRDefault="00440B7E">
      <w:pPr>
        <w:pStyle w:val="a7"/>
        <w:ind w:left="329" w:right="0"/>
      </w:pPr>
      <w:r>
        <w:rPr>
          <w:rtl/>
        </w:rPr>
        <w:t>* תחילה ביום 3.5.1990, חש"ם 423; וביום 4.8.1992, חש"ם 488.</w:t>
      </w:r>
    </w:p>
    <w:p w:rsidR="00000000" w:rsidRDefault="00440B7E">
      <w:pPr>
        <w:pStyle w:val="af0"/>
        <w:ind w:left="618" w:right="0"/>
      </w:pPr>
      <w:r>
        <w:rPr>
          <w:rtl/>
        </w:rPr>
        <w:t>ביטול</w:t>
      </w:r>
    </w:p>
    <w:p w:rsidR="00000000" w:rsidRDefault="00440B7E">
      <w:pPr>
        <w:pStyle w:val="af1"/>
      </w:pPr>
      <w:r>
        <w:rPr>
          <w:bCs/>
          <w:rtl/>
        </w:rPr>
        <w:t xml:space="preserve">8. </w:t>
      </w:r>
      <w:r>
        <w:rPr>
          <w:bCs/>
          <w:rtl/>
        </w:rPr>
        <w:tab/>
      </w:r>
      <w:r>
        <w:rPr>
          <w:bCs/>
          <w:rtl/>
        </w:rPr>
        <w:tab/>
      </w:r>
      <w:r>
        <w:rPr>
          <w:rtl/>
        </w:rPr>
        <w:t xml:space="preserve">חוק עזר לאור-עקיבא </w:t>
      </w:r>
      <w:r>
        <w:t>)</w:t>
      </w:r>
      <w:r>
        <w:rPr>
          <w:rtl/>
        </w:rPr>
        <w:t>פתיחת עסקים וסגירתם</w:t>
      </w:r>
      <w:r>
        <w:t>(</w:t>
      </w:r>
      <w:r>
        <w:rPr>
          <w:rtl/>
        </w:rPr>
        <w:t xml:space="preserve">, תשט"ו1955- </w:t>
      </w:r>
      <w:r>
        <w:t>-</w:t>
      </w:r>
      <w:r>
        <w:rPr>
          <w:rtl/>
        </w:rPr>
        <w:t xml:space="preserve"> בטל.</w:t>
      </w:r>
    </w:p>
    <w:p w:rsidR="00000000" w:rsidRDefault="00440B7E">
      <w:pPr>
        <w:pStyle w:val="af0"/>
        <w:ind w:left="618" w:right="0"/>
      </w:pPr>
      <w:r>
        <w:rPr>
          <w:rtl/>
        </w:rPr>
        <w:t>השם</w:t>
      </w:r>
    </w:p>
    <w:p w:rsidR="00000000" w:rsidRDefault="00440B7E">
      <w:pPr>
        <w:pStyle w:val="af1"/>
      </w:pPr>
      <w:r>
        <w:rPr>
          <w:bCs/>
          <w:rtl/>
        </w:rPr>
        <w:t xml:space="preserve">9. </w:t>
      </w:r>
      <w:r>
        <w:rPr>
          <w:bCs/>
          <w:rtl/>
        </w:rPr>
        <w:tab/>
      </w:r>
      <w:r>
        <w:rPr>
          <w:bCs/>
          <w:rtl/>
        </w:rPr>
        <w:tab/>
      </w:r>
      <w:r>
        <w:rPr>
          <w:rtl/>
        </w:rPr>
        <w:t xml:space="preserve">לחוק עזר זה ייקרא "חוק עזר לאור-עקיבא </w:t>
      </w:r>
      <w:r>
        <w:t>)</w:t>
      </w:r>
      <w:r>
        <w:rPr>
          <w:rtl/>
        </w:rPr>
        <w:t>פ</w:t>
      </w:r>
      <w:r>
        <w:rPr>
          <w:rtl/>
        </w:rPr>
        <w:t>תיחת בתי עסק וסגירתם</w:t>
      </w:r>
      <w:r>
        <w:t>(</w:t>
      </w:r>
      <w:r>
        <w:rPr>
          <w:rtl/>
        </w:rPr>
        <w:t>, תשכ"ד</w:t>
      </w:r>
      <w:r>
        <w:t>-</w:t>
      </w:r>
      <w:r>
        <w:rPr>
          <w:rtl/>
        </w:rPr>
        <w:t xml:space="preserve"> 1964".</w:t>
      </w:r>
    </w:p>
    <w:p w:rsidR="00000000" w:rsidRDefault="00440B7E">
      <w:pPr>
        <w:pStyle w:val="a6"/>
      </w:pPr>
      <w:r>
        <w:rPr>
          <w:rtl/>
        </w:rPr>
        <w:t>נתאשר.</w:t>
      </w:r>
    </w:p>
    <w:p w:rsidR="00000000" w:rsidRDefault="00440B7E">
      <w:pPr>
        <w:pStyle w:val="a6"/>
      </w:pPr>
      <w:r>
        <w:rPr>
          <w:rtl/>
        </w:rPr>
        <w:t xml:space="preserve">כ"ג בסיון תשכ"ד </w:t>
      </w:r>
      <w:r>
        <w:t>)</w:t>
      </w:r>
      <w:r>
        <w:rPr>
          <w:rtl/>
        </w:rPr>
        <w:t>3 ביוני 1964</w:t>
      </w:r>
      <w:r>
        <w:t>(</w:t>
      </w:r>
    </w:p>
    <w:p w:rsidR="00000000" w:rsidRDefault="00440B7E">
      <w:pPr>
        <w:pStyle w:val="ac"/>
        <w:ind w:left="5052" w:right="0"/>
      </w:pPr>
      <w:r>
        <w:rPr>
          <w:rtl/>
        </w:rPr>
        <w:t>עמוס ברכה</w:t>
      </w:r>
    </w:p>
    <w:p w:rsidR="00000000" w:rsidRDefault="00440B7E">
      <w:pPr>
        <w:pStyle w:val="ac"/>
        <w:ind w:left="5052" w:right="0"/>
      </w:pPr>
      <w:r>
        <w:rPr>
          <w:rtl/>
        </w:rPr>
        <w:t>ראש המועצה המקומית אור עקיבא</w:t>
      </w:r>
    </w:p>
    <w:p w:rsidR="00000000" w:rsidRDefault="00440B7E">
      <w:pPr>
        <w:pStyle w:val="ad"/>
        <w:rPr>
          <w:color w:val="auto"/>
        </w:rPr>
      </w:pPr>
      <w:r>
        <w:rPr>
          <w:color w:val="auto"/>
          <w:rtl/>
        </w:rPr>
        <w:tab/>
      </w:r>
      <w:r>
        <w:rPr>
          <w:color w:val="auto"/>
          <w:rtl/>
        </w:rPr>
        <w:tab/>
        <w:t>חיים משה שפירא</w:t>
      </w:r>
    </w:p>
    <w:p w:rsidR="00000000" w:rsidRDefault="00440B7E">
      <w:pPr>
        <w:pStyle w:val="ad"/>
        <w:rPr>
          <w:color w:val="auto"/>
        </w:rPr>
      </w:pPr>
      <w:r>
        <w:rPr>
          <w:color w:val="auto"/>
          <w:rtl/>
        </w:rPr>
        <w:tab/>
      </w:r>
      <w:r>
        <w:rPr>
          <w:color w:val="auto"/>
          <w:rtl/>
        </w:rPr>
        <w:tab/>
        <w:t>שר הפנים</w:t>
      </w:r>
    </w:p>
    <w:p w:rsidR="00000000" w:rsidRDefault="00440B7E">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0B7E">
      <w:pPr>
        <w:spacing w:after="0" w:line="240" w:lineRule="auto"/>
      </w:pPr>
      <w:r>
        <w:separator/>
      </w:r>
    </w:p>
  </w:endnote>
  <w:endnote w:type="continuationSeparator" w:id="0">
    <w:p w:rsidR="00000000" w:rsidRDefault="0044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0B7E">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w:t>
    </w:r>
    <w:r>
      <w:rPr>
        <w:color w:val="0000FF"/>
        <w:sz w:val="24"/>
        <w:szCs w:val="24"/>
        <w:rtl/>
      </w:rPr>
      <w:t>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440B7E">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0B7E">
      <w:pPr>
        <w:spacing w:after="0" w:line="240" w:lineRule="auto"/>
      </w:pPr>
      <w:r>
        <w:separator/>
      </w:r>
    </w:p>
  </w:footnote>
  <w:footnote w:type="continuationSeparator" w:id="0">
    <w:p w:rsidR="00000000" w:rsidRDefault="00440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0B7E">
    <w:pPr>
      <w:pStyle w:val="afb"/>
      <w:rPr>
        <w:b/>
        <w:bCs/>
        <w:color w:val="800080"/>
        <w:sz w:val="24"/>
        <w:rtl/>
      </w:rPr>
    </w:pPr>
    <w:r>
      <w:rPr>
        <w:b/>
        <w:bCs/>
        <w:color w:val="800080"/>
        <w:sz w:val="24"/>
        <w:rtl/>
      </w:rPr>
      <w:tab/>
    </w:r>
    <w:r>
      <w:rPr>
        <w:b/>
        <w:bCs/>
        <w:color w:val="800080"/>
        <w:sz w:val="24"/>
        <w:rtl/>
      </w:rPr>
      <w:fldChar w:fldCharType="begin"/>
    </w:r>
    <w:r>
      <w:rPr>
        <w:b/>
        <w:bCs/>
        <w:color w:val="800080"/>
        <w:sz w:val="24"/>
        <w:rtl/>
      </w:rPr>
      <w:instrText xml:space="preserve"> </w:instrText>
    </w:r>
    <w:r>
      <w:rPr>
        <w:b/>
        <w:bCs/>
        <w:color w:val="800080"/>
        <w:sz w:val="24"/>
      </w:rPr>
      <w:instrText>STYLEREF "Heading 1" \* MERGEFORMAT</w:instrText>
    </w:r>
    <w:r>
      <w:rPr>
        <w:b/>
        <w:bCs/>
        <w:color w:val="800080"/>
        <w:sz w:val="24"/>
        <w:rtl/>
      </w:rPr>
      <w:instrText xml:space="preserve"> </w:instrText>
    </w:r>
    <w:r>
      <w:rPr>
        <w:b/>
        <w:bCs/>
        <w:color w:val="800080"/>
        <w:sz w:val="24"/>
        <w:rtl/>
      </w:rPr>
      <w:fldChar w:fldCharType="separate"/>
    </w:r>
    <w:r>
      <w:rPr>
        <w:rFonts w:hint="cs"/>
        <w:noProof/>
        <w:color w:val="800080"/>
        <w:sz w:val="24"/>
        <w:rtl/>
      </w:rPr>
      <w:t xml:space="preserve">שגיאה! השתמש בכרטיסיה בית כדי להחיל </w:t>
    </w:r>
    <w:r>
      <w:rPr>
        <w:rFonts w:hint="cs"/>
        <w:noProof/>
        <w:color w:val="800080"/>
        <w:sz w:val="24"/>
      </w:rPr>
      <w:t>Heading 1</w:t>
    </w:r>
    <w:r>
      <w:rPr>
        <w:rFonts w:hint="cs"/>
        <w:noProof/>
        <w:color w:val="800080"/>
        <w:sz w:val="24"/>
        <w:rtl/>
      </w:rPr>
      <w:t xml:space="preserve"> על הטקסט שברצונך שיופיע כאן.</w:t>
    </w:r>
    <w:r>
      <w:rPr>
        <w:b/>
        <w:bCs/>
        <w:color w:val="800080"/>
        <w:sz w:val="24"/>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7E"/>
    <w:rsid w:val="0044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864F09-D054-4637-8654-BC43493D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B7E"/>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440B7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40B7E"/>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3525</Characters>
  <Application>Microsoft Office Word</Application>
  <DocSecurity>0</DocSecurity>
  <Lines>29</Lines>
  <Paragraphs>8</Paragraphs>
  <ScaleCrop>false</ScaleCrop>
  <Company>משפחת דלומי</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 עקיבא (פתיחת בתי עסק וסגירתם), תשכ"ד1964-</dc:title>
  <dc:subject/>
  <dc:creator>ven2word3</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