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5C3FFE">
      <w:pPr>
        <w:pStyle w:val="1"/>
      </w:pPr>
      <w:bookmarkStart w:id="0" w:name="_GoBack"/>
      <w:bookmarkEnd w:id="0"/>
      <w:r>
        <w:rPr>
          <w:rtl/>
        </w:rPr>
        <w:t>חוק עזר לאור עקיבא (הריסת מבנים מסוכנים), תשכ"ד1964-</w:t>
      </w:r>
    </w:p>
    <w:p w:rsidR="00000000" w:rsidRDefault="005C3FFE">
      <w:pPr>
        <w:pStyle w:val="a0"/>
        <w:ind w:left="2177" w:right="284"/>
      </w:pPr>
      <w:r>
        <w:rPr>
          <w:rtl/>
        </w:rPr>
        <w:t>פורסם:</w:t>
      </w:r>
      <w:r>
        <w:t xml:space="preserve"> </w:t>
      </w:r>
      <w:r>
        <w:tab/>
      </w:r>
      <w:r>
        <w:rPr>
          <w:rtl/>
        </w:rPr>
        <w:t xml:space="preserve"> ק"ת 1596, </w:t>
      </w:r>
      <w:r>
        <w:rPr>
          <w:rtl/>
        </w:rPr>
        <w:tab/>
        <w:t xml:space="preserve">תשכ"ד </w:t>
      </w:r>
      <w:r>
        <w:t>)</w:t>
      </w:r>
      <w:r>
        <w:rPr>
          <w:rtl/>
        </w:rPr>
        <w:t>25.6.1964),</w:t>
      </w:r>
      <w:r>
        <w:rPr>
          <w:rtl/>
        </w:rPr>
        <w:tab/>
        <w:t xml:space="preserve"> עמ' 1452</w:t>
      </w:r>
    </w:p>
    <w:p w:rsidR="00000000" w:rsidRDefault="005C3FFE">
      <w:pPr>
        <w:pStyle w:val="a6"/>
      </w:pPr>
      <w:r>
        <w:rPr>
          <w:rtl/>
        </w:rPr>
        <w:t>בתוקף סמכותה לפי סעיף 9 לפקודת המועצות המקומיות, 1941, מתקינה המועצה המקומית אור עקיבא חוק עזר זה:</w:t>
      </w:r>
    </w:p>
    <w:p w:rsidR="00000000" w:rsidRDefault="005C3FFE">
      <w:pPr>
        <w:pStyle w:val="af0"/>
        <w:ind w:left="618" w:right="0"/>
      </w:pPr>
      <w:r>
        <w:rPr>
          <w:rtl/>
        </w:rPr>
        <w:t>הגדרות</w:t>
      </w:r>
    </w:p>
    <w:p w:rsidR="00000000" w:rsidRDefault="005C3FFE">
      <w:pPr>
        <w:pStyle w:val="af1"/>
      </w:pPr>
      <w:r>
        <w:rPr>
          <w:bCs/>
          <w:rtl/>
        </w:rPr>
        <w:t xml:space="preserve">1. </w:t>
      </w:r>
      <w:r>
        <w:rPr>
          <w:bCs/>
          <w:rtl/>
        </w:rPr>
        <w:tab/>
      </w:r>
      <w:r>
        <w:rPr>
          <w:bCs/>
          <w:rtl/>
        </w:rPr>
        <w:tab/>
      </w:r>
      <w:r>
        <w:rPr>
          <w:rtl/>
        </w:rPr>
        <w:t xml:space="preserve">בחוק עזר זה </w:t>
      </w:r>
      <w:r>
        <w:t>-</w:t>
      </w:r>
    </w:p>
    <w:p w:rsidR="00000000" w:rsidRDefault="005C3FFE">
      <w:pPr>
        <w:pStyle w:val="a4"/>
      </w:pPr>
      <w:r>
        <w:rPr>
          <w:bCs/>
          <w:rtl/>
        </w:rPr>
        <w:t xml:space="preserve">"בנין" </w:t>
      </w:r>
      <w:r>
        <w:rPr>
          <w:bCs/>
        </w:rPr>
        <w:t xml:space="preserve"> -</w:t>
      </w:r>
      <w:r>
        <w:rPr>
          <w:bCs/>
          <w:rtl/>
        </w:rPr>
        <w:t xml:space="preserve"> </w:t>
      </w:r>
      <w:r>
        <w:rPr>
          <w:rtl/>
        </w:rPr>
        <w:t xml:space="preserve"> מבנה בנוי מאבן</w:t>
      </w:r>
      <w:r>
        <w:rPr>
          <w:rtl/>
        </w:rPr>
        <w:t>, ביטון, ברזל, עצים או מכל חומר אחר, לרבות יסוד, קיר, גג, ארובה, מרפסת, גזוזטרה, כרכוב או בליטה וכן חלק מבנין או דבר המחובר אליו, סוללת עפר, גדר, משוכה או מבנה אחר המקיף או הגודר או המכוון להקיף או לגדור כל אדמה או שטח;</w:t>
      </w:r>
    </w:p>
    <w:p w:rsidR="00000000" w:rsidRDefault="005C3FFE">
      <w:pPr>
        <w:pStyle w:val="a4"/>
      </w:pPr>
      <w:r>
        <w:rPr>
          <w:bCs/>
          <w:rtl/>
        </w:rPr>
        <w:t xml:space="preserve">"בעל" </w:t>
      </w:r>
      <w:r>
        <w:rPr>
          <w:bCs/>
        </w:rPr>
        <w:t xml:space="preserve"> -</w:t>
      </w:r>
      <w:r>
        <w:rPr>
          <w:rtl/>
        </w:rPr>
        <w:t>לרבות אדם המקבל, או הזכאי לק</w:t>
      </w:r>
      <w:r>
        <w:rPr>
          <w:rtl/>
        </w:rPr>
        <w:t>בל, הכנסה מבנין או שהיה מקבלה אילו היה הבנין נותן הכנסה, בין בזכותו הוא ובין כבא-כוח או כנאמן, בין שהוא הבעל הרשום של הבנין ובין שאיננו הבעל הרשום;</w:t>
      </w:r>
    </w:p>
    <w:p w:rsidR="00000000" w:rsidRDefault="005C3FFE">
      <w:pPr>
        <w:pStyle w:val="a4"/>
      </w:pPr>
      <w:r>
        <w:rPr>
          <w:bCs/>
          <w:rtl/>
        </w:rPr>
        <w:t xml:space="preserve">"מחזיק" </w:t>
      </w:r>
      <w:r>
        <w:rPr>
          <w:bCs/>
        </w:rPr>
        <w:t xml:space="preserve"> -</w:t>
      </w:r>
      <w:r>
        <w:rPr>
          <w:rtl/>
        </w:rPr>
        <w:t>אדם המחזיק למעשה בבנין כבעל או כשוכר או בכל אופן אחר;</w:t>
      </w:r>
    </w:p>
    <w:p w:rsidR="00000000" w:rsidRDefault="005C3FFE">
      <w:pPr>
        <w:pStyle w:val="a4"/>
      </w:pPr>
      <w:r>
        <w:rPr>
          <w:bCs/>
          <w:rtl/>
        </w:rPr>
        <w:t xml:space="preserve">"מהנדס" </w:t>
      </w:r>
      <w:r>
        <w:rPr>
          <w:bCs/>
        </w:rPr>
        <w:t xml:space="preserve"> -</w:t>
      </w:r>
      <w:r>
        <w:rPr>
          <w:bCs/>
          <w:rtl/>
        </w:rPr>
        <w:t xml:space="preserve"> </w:t>
      </w:r>
      <w:r>
        <w:rPr>
          <w:rtl/>
        </w:rPr>
        <w:t>כמשמעותו בחוק המהנדסים והאדריכלים</w:t>
      </w:r>
      <w:r>
        <w:rPr>
          <w:rtl/>
        </w:rPr>
        <w:t>, תשי"ח1958-, שנתמנה על ידי שהמועצה, לרבות מי שהמהנדס העביר אליו בכתב את סמכויותיו לפי חוק עזר זה, כולן או מקצתן;</w:t>
      </w:r>
    </w:p>
    <w:p w:rsidR="00000000" w:rsidRDefault="005C3FFE">
      <w:pPr>
        <w:pStyle w:val="a4"/>
      </w:pPr>
      <w:r>
        <w:rPr>
          <w:bCs/>
          <w:rtl/>
        </w:rPr>
        <w:t xml:space="preserve">"המועצה" </w:t>
      </w:r>
      <w:r>
        <w:rPr>
          <w:bCs/>
        </w:rPr>
        <w:t xml:space="preserve"> -</w:t>
      </w:r>
      <w:r>
        <w:rPr>
          <w:rtl/>
        </w:rPr>
        <w:t>המועצה המקומית אור עקיבא;</w:t>
      </w:r>
    </w:p>
    <w:p w:rsidR="00000000" w:rsidRDefault="005C3FFE">
      <w:pPr>
        <w:pStyle w:val="a4"/>
      </w:pPr>
      <w:r>
        <w:rPr>
          <w:bCs/>
          <w:rtl/>
        </w:rPr>
        <w:t xml:space="preserve">"ראש המועצה" </w:t>
      </w:r>
      <w:r>
        <w:rPr>
          <w:bCs/>
        </w:rPr>
        <w:t xml:space="preserve"> -</w:t>
      </w:r>
      <w:r>
        <w:rPr>
          <w:rtl/>
        </w:rPr>
        <w:t>לרבות אדם שראש המועצה העביר אליו בכתב את סמכויותיו לפי חוק עזר זה, כולן או מקצתן;</w:t>
      </w:r>
    </w:p>
    <w:p w:rsidR="00000000" w:rsidRDefault="005C3FFE">
      <w:pPr>
        <w:pStyle w:val="af0"/>
        <w:ind w:left="618" w:right="0"/>
      </w:pPr>
      <w:r>
        <w:rPr>
          <w:rtl/>
        </w:rPr>
        <w:t>עריכת בד</w:t>
      </w:r>
      <w:r>
        <w:rPr>
          <w:rtl/>
        </w:rPr>
        <w:t>יקה</w:t>
      </w:r>
    </w:p>
    <w:p w:rsidR="00000000" w:rsidRDefault="005C3FFE">
      <w:pPr>
        <w:pStyle w:val="af1"/>
      </w:pPr>
      <w:r>
        <w:rPr>
          <w:bCs/>
          <w:rtl/>
        </w:rPr>
        <w:t xml:space="preserve">2. </w:t>
      </w:r>
      <w:r>
        <w:rPr>
          <w:bCs/>
          <w:rtl/>
        </w:rPr>
        <w:tab/>
      </w:r>
      <w:r>
        <w:rPr>
          <w:bCs/>
          <w:rtl/>
        </w:rPr>
        <w:tab/>
      </w:r>
      <w:r>
        <w:t>)</w:t>
      </w:r>
      <w:r>
        <w:rPr>
          <w:rtl/>
        </w:rPr>
        <w:t>א</w:t>
      </w:r>
      <w:r>
        <w:t>(</w:t>
      </w:r>
      <w:r>
        <w:rPr>
          <w:rtl/>
        </w:rPr>
        <w:t xml:space="preserve"> בעל בנין חייב להחזיק את בנינו במצב המבטיח את שלום המחזיקים בו ואת שלום הציבור.</w:t>
      </w:r>
    </w:p>
    <w:p w:rsidR="00000000" w:rsidRDefault="005C3FFE">
      <w:pPr>
        <w:pStyle w:val="12"/>
        <w:rPr>
          <w:rtl/>
        </w:rPr>
      </w:pPr>
      <w:r>
        <w:t>)</w:t>
      </w:r>
      <w:r>
        <w:rPr>
          <w:rtl/>
        </w:rPr>
        <w:t>ב</w:t>
      </w:r>
      <w:r>
        <w:t>(</w:t>
      </w:r>
      <w:r>
        <w:rPr>
          <w:rtl/>
        </w:rPr>
        <w:t xml:space="preserve"> חושש בעל בנין או מחזיק בו, כי הבנין מהווה סכנה למחזיקים או לציבור, יודיע על כך מיד לראש המועצה.</w:t>
      </w:r>
    </w:p>
    <w:p w:rsidR="00000000" w:rsidRDefault="005C3FFE">
      <w:pPr>
        <w:pStyle w:val="12"/>
      </w:pPr>
      <w:r>
        <w:rPr>
          <w:rtl/>
        </w:rPr>
        <w:t>(ג) ראש המועצה יורה למהנדס לערוך, מזמן לזמן – ובמקרה שקיבל הודעה</w:t>
      </w:r>
      <w:r>
        <w:rPr>
          <w:rtl/>
        </w:rPr>
        <w:t>, מיד אחרי קבלתה – סקר על בנינים העלולים להוות סכנה כאמור בסעיף קטן (ב); המהנדס שערך את הבדיקה, חייב להגיש דין וחשבון לראש המועצה תוך 24 שעות לאחר עריכת הבדיקה.</w:t>
      </w:r>
    </w:p>
    <w:p w:rsidR="00000000" w:rsidRDefault="005C3FFE">
      <w:pPr>
        <w:pStyle w:val="af0"/>
        <w:ind w:left="618" w:right="0"/>
      </w:pPr>
      <w:r>
        <w:rPr>
          <w:rtl/>
        </w:rPr>
        <w:t>הודעות</w:t>
      </w:r>
    </w:p>
    <w:p w:rsidR="00000000" w:rsidRDefault="005C3FFE">
      <w:pPr>
        <w:pStyle w:val="af1"/>
      </w:pPr>
      <w:r>
        <w:rPr>
          <w:bCs/>
          <w:rtl/>
        </w:rPr>
        <w:t xml:space="preserve">3. </w:t>
      </w:r>
      <w:r>
        <w:rPr>
          <w:bCs/>
          <w:rtl/>
        </w:rPr>
        <w:tab/>
      </w:r>
      <w:r>
        <w:rPr>
          <w:bCs/>
          <w:rtl/>
        </w:rPr>
        <w:tab/>
      </w:r>
      <w:r>
        <w:t>)</w:t>
      </w:r>
      <w:r>
        <w:rPr>
          <w:rtl/>
        </w:rPr>
        <w:t>א</w:t>
      </w:r>
      <w:r>
        <w:t>(</w:t>
      </w:r>
      <w:r>
        <w:rPr>
          <w:rtl/>
        </w:rPr>
        <w:t xml:space="preserve"> סבור ראש המועצה על פי דין וחשבון שנערך לפי סעיף 2 כי בנין מהווה סכנה למחזיקים א</w:t>
      </w:r>
      <w:r>
        <w:rPr>
          <w:rtl/>
        </w:rPr>
        <w:t>ו לציבור, רשאי הוא לדרוש בהודעה בכתב מבעל הבנין לבצע את העבודות המפורטות בה תוך התקופה ובאופן שנקבעו בהודעה.</w:t>
      </w:r>
    </w:p>
    <w:p w:rsidR="00000000" w:rsidRDefault="005C3FFE">
      <w:pPr>
        <w:pStyle w:val="12"/>
        <w:rPr>
          <w:rtl/>
        </w:rPr>
      </w:pPr>
      <w:r>
        <w:t>)</w:t>
      </w:r>
      <w:r>
        <w:rPr>
          <w:rtl/>
        </w:rPr>
        <w:t>ב</w:t>
      </w:r>
      <w:r>
        <w:t>(</w:t>
      </w:r>
      <w:r>
        <w:rPr>
          <w:rtl/>
        </w:rPr>
        <w:t xml:space="preserve"> בעל בנין שקיבל הודעה כאמור חייב למלא אחריה.</w:t>
      </w:r>
    </w:p>
    <w:p w:rsidR="00000000" w:rsidRDefault="005C3FFE">
      <w:pPr>
        <w:pStyle w:val="12"/>
      </w:pPr>
      <w:r>
        <w:rPr>
          <w:rtl/>
        </w:rPr>
        <w:t>(ג) לא מילא בעל בנין אחרי דרישת ראש המועצה לפי סעיף קטן (א) או ביצע את העבודות שלא באופן המפורט בהו</w:t>
      </w:r>
      <w:r>
        <w:rPr>
          <w:rtl/>
        </w:rPr>
        <w:t>דעה, רשאית המועצה לבצע את העבודות ולגבות מבעל הבנין את הוצאות הביצוע.</w:t>
      </w:r>
    </w:p>
    <w:p w:rsidR="00000000" w:rsidRDefault="005C3FFE">
      <w:pPr>
        <w:pStyle w:val="af0"/>
        <w:ind w:left="618" w:right="0"/>
      </w:pPr>
      <w:r>
        <w:rPr>
          <w:rtl/>
        </w:rPr>
        <w:t>ביצוע עבודות על ידי ראש המועצה</w:t>
      </w:r>
    </w:p>
    <w:p w:rsidR="00000000" w:rsidRDefault="005C3FFE">
      <w:pPr>
        <w:pStyle w:val="af1"/>
      </w:pPr>
      <w:r>
        <w:rPr>
          <w:bCs/>
          <w:rtl/>
        </w:rPr>
        <w:t xml:space="preserve">4. </w:t>
      </w:r>
      <w:r>
        <w:rPr>
          <w:bCs/>
          <w:rtl/>
        </w:rPr>
        <w:tab/>
      </w:r>
      <w:r>
        <w:rPr>
          <w:bCs/>
          <w:rtl/>
        </w:rPr>
        <w:tab/>
      </w:r>
      <w:r>
        <w:rPr>
          <w:rtl/>
        </w:rPr>
        <w:t>אישר המהנדס, לאחר בדיקה, כי בנין נתון במצב שיש בו משום סכנה תכופה למחזיקים או לציבור, רשאי ראש המועצה, באישורו של הממונה על המחוז, לבצע את העבודות הדר</w:t>
      </w:r>
      <w:r>
        <w:rPr>
          <w:rtl/>
        </w:rPr>
        <w:t>ושות לשם הריסת הבנין ולגבות את הוצאות הביצוע מאת בעל הבנין.</w:t>
      </w:r>
    </w:p>
    <w:p w:rsidR="00000000" w:rsidRDefault="005C3FFE">
      <w:pPr>
        <w:pStyle w:val="af0"/>
        <w:ind w:left="618" w:right="0"/>
      </w:pPr>
      <w:r>
        <w:rPr>
          <w:rtl/>
        </w:rPr>
        <w:t>אישור סכום ההוצאות</w:t>
      </w:r>
    </w:p>
    <w:p w:rsidR="00000000" w:rsidRDefault="005C3FFE">
      <w:pPr>
        <w:pStyle w:val="af1"/>
        <w:rPr>
          <w:rtl/>
        </w:rPr>
      </w:pPr>
      <w:r>
        <w:rPr>
          <w:bCs/>
          <w:rtl/>
        </w:rPr>
        <w:t xml:space="preserve">5. </w:t>
      </w:r>
      <w:r>
        <w:rPr>
          <w:bCs/>
          <w:rtl/>
        </w:rPr>
        <w:tab/>
      </w:r>
      <w:r>
        <w:rPr>
          <w:bCs/>
          <w:rtl/>
        </w:rPr>
        <w:tab/>
      </w:r>
      <w:r>
        <w:rPr>
          <w:rtl/>
        </w:rPr>
        <w:t>נתעוררה שאלה בדבר סכום ההוצאות לפי סעיפים 3 או 4, ישמש אישור בכתב מאת המהנדס בדבר הסכום ראיה לכאורה.</w:t>
      </w:r>
    </w:p>
    <w:p w:rsidR="00000000" w:rsidRDefault="005C3FFE">
      <w:pPr>
        <w:pStyle w:val="af0"/>
        <w:ind w:left="618" w:right="0"/>
      </w:pPr>
      <w:r>
        <w:rPr>
          <w:rtl/>
        </w:rPr>
        <w:t>סמכות ראש המועצה והמהנדס להיכנס לבנין</w:t>
      </w:r>
    </w:p>
    <w:p w:rsidR="00000000" w:rsidRDefault="005C3FFE">
      <w:pPr>
        <w:pStyle w:val="af1"/>
        <w:rPr>
          <w:rtl/>
        </w:rPr>
      </w:pPr>
      <w:r>
        <w:rPr>
          <w:bCs/>
          <w:rtl/>
        </w:rPr>
        <w:t xml:space="preserve">6. </w:t>
      </w:r>
      <w:r>
        <w:rPr>
          <w:bCs/>
          <w:rtl/>
        </w:rPr>
        <w:tab/>
      </w:r>
      <w:r>
        <w:rPr>
          <w:bCs/>
          <w:rtl/>
        </w:rPr>
        <w:tab/>
      </w:r>
      <w:r>
        <w:t>)</w:t>
      </w:r>
      <w:r>
        <w:rPr>
          <w:rtl/>
        </w:rPr>
        <w:t>א</w:t>
      </w:r>
      <w:r>
        <w:t>(</w:t>
      </w:r>
      <w:r>
        <w:rPr>
          <w:rtl/>
        </w:rPr>
        <w:t xml:space="preserve"> ראש המועצה או המהנדס רשא</w:t>
      </w:r>
      <w:r>
        <w:rPr>
          <w:rtl/>
        </w:rPr>
        <w:t>ים להיכנס, בכל עת סבירה, לכל בנין כדי לברר את מצב הבנין או כדי לבצע עבודות בהתאם להוראות חוק עזר זה.</w:t>
      </w:r>
    </w:p>
    <w:p w:rsidR="00000000" w:rsidRDefault="005C3FFE">
      <w:pPr>
        <w:pStyle w:val="12"/>
      </w:pPr>
      <w:r>
        <w:t>)</w:t>
      </w:r>
      <w:r>
        <w:rPr>
          <w:rtl/>
        </w:rPr>
        <w:t>ב</w:t>
      </w:r>
      <w:r>
        <w:t>(</w:t>
      </w:r>
      <w:r>
        <w:rPr>
          <w:rtl/>
        </w:rPr>
        <w:t xml:space="preserve"> לא יפריע אדם לראש המועצה או למהנדס מהשתמש בסמכויותיהם לפי סעיף קטן (א).</w:t>
      </w:r>
    </w:p>
    <w:p w:rsidR="00000000" w:rsidRDefault="005C3FFE">
      <w:pPr>
        <w:pStyle w:val="af0"/>
        <w:ind w:left="618" w:right="0"/>
      </w:pPr>
      <w:r>
        <w:rPr>
          <w:rtl/>
        </w:rPr>
        <w:t>מסירת הודעות</w:t>
      </w:r>
    </w:p>
    <w:p w:rsidR="00000000" w:rsidRDefault="005C3FFE">
      <w:pPr>
        <w:pStyle w:val="af1"/>
      </w:pPr>
      <w:r>
        <w:rPr>
          <w:bCs/>
          <w:rtl/>
        </w:rPr>
        <w:t xml:space="preserve">7. </w:t>
      </w:r>
      <w:r>
        <w:rPr>
          <w:bCs/>
          <w:rtl/>
        </w:rPr>
        <w:tab/>
      </w:r>
      <w:r>
        <w:rPr>
          <w:bCs/>
          <w:rtl/>
        </w:rPr>
        <w:tab/>
      </w:r>
      <w:r>
        <w:rPr>
          <w:rtl/>
        </w:rPr>
        <w:t>מסירת הודעה לפי חוק עזר זה תהא כדין, אם נמסרה לידי האדם שאליו</w:t>
      </w:r>
      <w:r>
        <w:rPr>
          <w:rtl/>
        </w:rPr>
        <w:t xml:space="preserve"> היא מכוונת, או נמסרה במקום מגוריו או במקום עסקו הרגילים או הידועים לאחרונה, לידי אחד מבני משפחתו הבוגרים או לידי כל אדם בוגר העובד או המועסק שם, או נשלחה בדואר במכתב רשום הערוך אל אותו אדם לפי מען מקום מגוריו או עסקו הרגילים או הידועים לאחרונה. אם אי אפשר</w:t>
      </w:r>
      <w:r>
        <w:rPr>
          <w:rtl/>
        </w:rPr>
        <w:t xml:space="preserve"> לקיים את המסירה כאמור, תהא המסירה כדין אם הוצגה במקום בולט באחד המקומות האמורים או על הנכס שבו דנה ההודעה או נתפרסמה בשני עתונים הנפוצים בתחום המועצה שאחד מהם לפחות הוא בשפה העברית.</w:t>
      </w:r>
    </w:p>
    <w:p w:rsidR="00000000" w:rsidRDefault="005C3FFE">
      <w:pPr>
        <w:pStyle w:val="af0"/>
        <w:ind w:left="618" w:right="0"/>
      </w:pPr>
      <w:r>
        <w:rPr>
          <w:rtl/>
        </w:rPr>
        <w:t>ענשים</w:t>
      </w:r>
    </w:p>
    <w:p w:rsidR="00000000" w:rsidRDefault="005C3FFE">
      <w:pPr>
        <w:pStyle w:val="af1"/>
        <w:rPr>
          <w:rtl/>
        </w:rPr>
      </w:pPr>
      <w:r>
        <w:rPr>
          <w:bCs/>
          <w:rtl/>
        </w:rPr>
        <w:lastRenderedPageBreak/>
        <w:t xml:space="preserve">8. </w:t>
      </w:r>
      <w:r>
        <w:rPr>
          <w:bCs/>
          <w:rtl/>
        </w:rPr>
        <w:tab/>
      </w:r>
      <w:r>
        <w:rPr>
          <w:bCs/>
          <w:rtl/>
        </w:rPr>
        <w:tab/>
      </w:r>
      <w:r>
        <w:rPr>
          <w:rtl/>
        </w:rPr>
        <w:t xml:space="preserve">העובר על הוראה מהוראות חוק עזר זה, דינו </w:t>
      </w:r>
      <w:r>
        <w:t>-</w:t>
      </w:r>
      <w:r>
        <w:rPr>
          <w:rtl/>
        </w:rPr>
        <w:t xml:space="preserve"> קנס 900 שקלים חדשים*</w:t>
      </w:r>
      <w:r>
        <w:rPr>
          <w:rtl/>
        </w:rPr>
        <w:t xml:space="preserve">, ואם היתה העבירה נמשכת, דינו </w:t>
      </w:r>
      <w:r>
        <w:t>-</w:t>
      </w:r>
      <w:r>
        <w:rPr>
          <w:rtl/>
        </w:rPr>
        <w:t xml:space="preserve"> קנס נוסף 36 שקלים חדשים* לכל יום שבו נמשכת העבירה לאחר שנמסרה לו עליה הודעה בכתב מאת ראש המועצה או אחרי הרשעתו בדין.</w:t>
      </w:r>
    </w:p>
    <w:p w:rsidR="00000000" w:rsidRDefault="005C3FFE">
      <w:pPr>
        <w:pStyle w:val="a7"/>
        <w:ind w:left="329" w:right="0"/>
        <w:rPr>
          <w:rtl/>
        </w:rPr>
      </w:pPr>
      <w:r>
        <w:rPr>
          <w:rtl/>
        </w:rPr>
        <w:t>*תחילה ביום 3.5.1990, חש"ם 423; וביום 4.8.1992, חש"ם 488</w:t>
      </w:r>
    </w:p>
    <w:p w:rsidR="00000000" w:rsidRDefault="005C3FFE">
      <w:pPr>
        <w:pStyle w:val="af0"/>
        <w:ind w:left="618" w:right="0"/>
      </w:pPr>
      <w:r>
        <w:rPr>
          <w:rtl/>
        </w:rPr>
        <w:t>השם</w:t>
      </w:r>
    </w:p>
    <w:p w:rsidR="00000000" w:rsidRDefault="005C3FFE">
      <w:pPr>
        <w:pStyle w:val="af1"/>
        <w:rPr>
          <w:rtl/>
        </w:rPr>
      </w:pPr>
      <w:r>
        <w:rPr>
          <w:bCs/>
          <w:rtl/>
        </w:rPr>
        <w:t xml:space="preserve">9. </w:t>
      </w:r>
      <w:r>
        <w:rPr>
          <w:bCs/>
          <w:rtl/>
        </w:rPr>
        <w:tab/>
      </w:r>
      <w:r>
        <w:rPr>
          <w:bCs/>
          <w:rtl/>
        </w:rPr>
        <w:tab/>
      </w:r>
      <w:r>
        <w:rPr>
          <w:rtl/>
        </w:rPr>
        <w:t>לחוק עזר זה ייקרא "חוק עזר לאור עקיבא (הר</w:t>
      </w:r>
      <w:r>
        <w:rPr>
          <w:rtl/>
        </w:rPr>
        <w:t>יסת מבנים מסוכנים), תשכ"ד1964-".</w:t>
      </w:r>
    </w:p>
    <w:p w:rsidR="00000000" w:rsidRDefault="005C3FFE">
      <w:pPr>
        <w:pStyle w:val="12"/>
        <w:rPr>
          <w:rtl/>
        </w:rPr>
      </w:pPr>
    </w:p>
    <w:p w:rsidR="00000000" w:rsidRDefault="005C3FFE">
      <w:pPr>
        <w:pStyle w:val="12"/>
        <w:rPr>
          <w:rtl/>
        </w:rPr>
      </w:pPr>
      <w:r>
        <w:rPr>
          <w:rtl/>
        </w:rPr>
        <w:t>נתאשר.</w:t>
      </w:r>
    </w:p>
    <w:p w:rsidR="00000000" w:rsidRDefault="005C3FFE">
      <w:pPr>
        <w:pStyle w:val="12"/>
        <w:rPr>
          <w:rtl/>
        </w:rPr>
      </w:pPr>
    </w:p>
    <w:p w:rsidR="00000000" w:rsidRDefault="005C3FFE">
      <w:pPr>
        <w:pStyle w:val="12"/>
        <w:rPr>
          <w:rtl/>
        </w:rPr>
      </w:pPr>
      <w:r>
        <w:rPr>
          <w:rtl/>
        </w:rPr>
        <w:t>י"ד בסיון תשכ"ד (25 במאי 1964)</w:t>
      </w:r>
    </w:p>
    <w:p w:rsidR="00000000" w:rsidRDefault="005C3FFE">
      <w:pPr>
        <w:pStyle w:val="12"/>
        <w:rPr>
          <w:rtl/>
        </w:rPr>
      </w:pPr>
      <w:r>
        <w:rPr>
          <w:rtl/>
        </w:rPr>
        <w:tab/>
      </w:r>
      <w:r>
        <w:rPr>
          <w:rtl/>
        </w:rPr>
        <w:tab/>
      </w:r>
      <w:r>
        <w:rPr>
          <w:rtl/>
        </w:rPr>
        <w:tab/>
      </w:r>
      <w:r>
        <w:rPr>
          <w:rtl/>
        </w:rPr>
        <w:tab/>
      </w:r>
      <w:r>
        <w:rPr>
          <w:rtl/>
        </w:rPr>
        <w:tab/>
      </w:r>
      <w:r>
        <w:rPr>
          <w:rtl/>
        </w:rPr>
        <w:tab/>
      </w:r>
      <w:r>
        <w:rPr>
          <w:rtl/>
        </w:rPr>
        <w:tab/>
      </w:r>
      <w:r>
        <w:rPr>
          <w:rtl/>
        </w:rPr>
        <w:tab/>
        <w:t>עמוס ברכה</w:t>
      </w:r>
      <w:r>
        <w:rPr>
          <w:rtl/>
        </w:rPr>
        <w:tab/>
      </w:r>
      <w:r>
        <w:rPr>
          <w:rtl/>
        </w:rPr>
        <w:tab/>
      </w:r>
      <w:r>
        <w:rPr>
          <w:rtl/>
        </w:rPr>
        <w:tab/>
      </w:r>
      <w:r>
        <w:rPr>
          <w:rtl/>
        </w:rPr>
        <w:tab/>
      </w:r>
      <w:r>
        <w:rPr>
          <w:rtl/>
        </w:rPr>
        <w:tab/>
      </w:r>
      <w:r>
        <w:rPr>
          <w:rtl/>
        </w:rPr>
        <w:tab/>
        <w:t xml:space="preserve">                                               </w:t>
      </w:r>
      <w:r>
        <w:rPr>
          <w:rtl/>
        </w:rPr>
        <w:tab/>
        <w:t xml:space="preserve">     ראש המועצה המקומית </w:t>
      </w:r>
    </w:p>
    <w:p w:rsidR="00000000" w:rsidRDefault="005C3FFE">
      <w:pPr>
        <w:pStyle w:val="ad"/>
        <w:rPr>
          <w:color w:val="auto"/>
          <w:rtl/>
        </w:rPr>
      </w:pPr>
      <w:r>
        <w:rPr>
          <w:color w:val="auto"/>
          <w:rtl/>
        </w:rPr>
        <w:tab/>
      </w:r>
      <w:r>
        <w:rPr>
          <w:color w:val="auto"/>
          <w:rtl/>
        </w:rPr>
        <w:tab/>
      </w:r>
      <w:r>
        <w:rPr>
          <w:color w:val="auto"/>
          <w:rtl/>
        </w:rPr>
        <w:tab/>
      </w:r>
      <w:r>
        <w:rPr>
          <w:color w:val="auto"/>
          <w:rtl/>
        </w:rPr>
        <w:tab/>
      </w:r>
      <w:r>
        <w:rPr>
          <w:color w:val="auto"/>
          <w:rtl/>
        </w:rPr>
        <w:tab/>
        <w:t xml:space="preserve">                                                                 אור עקיבא</w:t>
      </w:r>
    </w:p>
    <w:p w:rsidR="00000000" w:rsidRDefault="005C3FFE">
      <w:pPr>
        <w:pStyle w:val="ad"/>
        <w:rPr>
          <w:color w:val="auto"/>
          <w:rtl/>
        </w:rPr>
      </w:pPr>
    </w:p>
    <w:p w:rsidR="00000000" w:rsidRDefault="005C3FFE">
      <w:pPr>
        <w:pStyle w:val="ad"/>
        <w:rPr>
          <w:color w:val="auto"/>
          <w:rtl/>
        </w:rPr>
      </w:pPr>
      <w:r>
        <w:rPr>
          <w:color w:val="auto"/>
          <w:rtl/>
        </w:rPr>
        <w:t>חיים מ</w:t>
      </w:r>
      <w:r>
        <w:rPr>
          <w:color w:val="auto"/>
          <w:rtl/>
        </w:rPr>
        <w:t>שה שפירא</w:t>
      </w:r>
    </w:p>
    <w:p w:rsidR="00000000" w:rsidRDefault="005C3FFE">
      <w:pPr>
        <w:pStyle w:val="ad"/>
        <w:rPr>
          <w:color w:val="auto"/>
        </w:rPr>
      </w:pPr>
      <w:r>
        <w:rPr>
          <w:color w:val="auto"/>
          <w:rtl/>
        </w:rPr>
        <w:t xml:space="preserve">     שר הפנים</w:t>
      </w:r>
    </w:p>
    <w:sectPr w:rsidR="00000000">
      <w:headerReference w:type="default" r:id="rId6"/>
      <w:footerReference w:type="default" r:id="rId7"/>
      <w:pgSz w:w="11906" w:h="16838" w:code="9"/>
      <w:pgMar w:top="1440" w:right="1797" w:bottom="1440" w:left="1797" w:header="709" w:footer="709" w:gutter="0"/>
      <w:cols w:space="709"/>
      <w:bidi/>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5C3FFE">
      <w:r>
        <w:separator/>
      </w:r>
    </w:p>
  </w:endnote>
  <w:endnote w:type="continuationSeparator" w:id="0">
    <w:p w:rsidR="00000000" w:rsidRDefault="005C3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Arial">
    <w:altName w:val="helvetica"/>
    <w:panose1 w:val="020B0604020202020204"/>
    <w:charset w:val="00"/>
    <w:family w:val="swiss"/>
    <w:pitch w:val="variable"/>
    <w:sig w:usb0="E0002AFF" w:usb1="C0007843"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 w:name="Narkisim">
    <w:panose1 w:val="020E05020501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IW_David">
    <w:panose1 w:val="00000000000000000000"/>
    <w:charset w:val="B1"/>
    <w:family w:val="swiss"/>
    <w:notTrueType/>
    <w:pitch w:val="variable"/>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3FFE">
    <w:pPr>
      <w:pStyle w:val="af9"/>
      <w:spacing w:line="240" w:lineRule="exact"/>
      <w:rPr>
        <w:rStyle w:val="afd"/>
        <w:b w:val="0"/>
        <w:bCs/>
        <w:szCs w:val="22"/>
        <w:rtl/>
      </w:rPr>
    </w:pPr>
    <w:r>
      <w:rPr>
        <w:color w:val="0000FF"/>
        <w:sz w:val="24"/>
      </w:rPr>
      <w:t>©</w:t>
    </w:r>
    <w:r>
      <w:rPr>
        <w:sz w:val="24"/>
        <w:rtl/>
      </w:rPr>
      <w:t xml:space="preserve">  </w:t>
    </w:r>
    <w:r>
      <w:rPr>
        <w:color w:val="0000FF"/>
        <w:sz w:val="24"/>
        <w:szCs w:val="24"/>
        <w:rtl/>
      </w:rPr>
      <w:t>קבוצת "מחשבות</w:t>
    </w:r>
    <w:r>
      <w:rPr>
        <w:color w:val="0000FF"/>
        <w:sz w:val="24"/>
        <w:szCs w:val="24"/>
        <w:rtl/>
      </w:rPr>
      <w:t>"</w:t>
    </w:r>
    <w:r>
      <w:rPr>
        <w:sz w:val="24"/>
        <w:rtl/>
      </w:rPr>
      <w:t>,</w:t>
    </w:r>
    <w:r>
      <w:rPr>
        <w:rtl/>
      </w:rPr>
      <w:t xml:space="preserve"> 03-6160466,</w:t>
    </w:r>
    <w:hyperlink r:id="rId1" w:history="1">
      <w:r>
        <w:rPr>
          <w:rStyle w:val="Hyperlink"/>
          <w:bCs w:val="0"/>
        </w:rPr>
        <w:t>www.ma</w:t>
      </w:r>
      <w:bookmarkStart w:id="1" w:name="_Hlt27207253"/>
      <w:r>
        <w:rPr>
          <w:rStyle w:val="Hyperlink"/>
          <w:bCs w:val="0"/>
        </w:rPr>
        <w:t>c</w:t>
      </w:r>
      <w:bookmarkEnd w:id="1"/>
      <w:r>
        <w:rPr>
          <w:rStyle w:val="Hyperlink"/>
          <w:bCs w:val="0"/>
        </w:rPr>
        <w:t>hshavot.co.il</w:t>
      </w:r>
    </w:hyperlink>
    <w:r>
      <w:rPr>
        <w:rFonts w:ascii="Arial" w:hAnsi="Arial"/>
      </w:rPr>
      <w:t xml:space="preserve">   </w:t>
    </w:r>
    <w:r>
      <w:rPr>
        <w:rtl/>
      </w:rPr>
      <w:tab/>
    </w:r>
    <w:r>
      <w:rPr>
        <w:rStyle w:val="afd"/>
        <w:rtl/>
      </w:rPr>
      <w:fldChar w:fldCharType="begin"/>
    </w:r>
    <w:r>
      <w:rPr>
        <w:rStyle w:val="afd"/>
        <w:rtl/>
      </w:rPr>
      <w:instrText xml:space="preserve"> </w:instrText>
    </w:r>
    <w:r>
      <w:rPr>
        <w:rStyle w:val="afd"/>
      </w:rPr>
      <w:instrText>PAGE</w:instrText>
    </w:r>
    <w:r>
      <w:rPr>
        <w:rStyle w:val="afd"/>
        <w:rtl/>
      </w:rPr>
      <w:instrText xml:space="preserve"> </w:instrText>
    </w:r>
    <w:r>
      <w:rPr>
        <w:rStyle w:val="afd"/>
        <w:rtl/>
      </w:rPr>
      <w:fldChar w:fldCharType="separate"/>
    </w:r>
    <w:r>
      <w:rPr>
        <w:rStyle w:val="afd"/>
        <w:noProof/>
        <w:rtl/>
      </w:rPr>
      <w:t>1</w:t>
    </w:r>
    <w:r>
      <w:rPr>
        <w:rStyle w:val="afd"/>
        <w:rtl/>
      </w:rPr>
      <w:fldChar w:fldCharType="end"/>
    </w:r>
    <w:r>
      <w:rPr>
        <w:rStyle w:val="afd"/>
        <w:b w:val="0"/>
        <w:bCs/>
        <w:szCs w:val="22"/>
        <w:rtl/>
      </w:rPr>
      <w:tab/>
    </w:r>
  </w:p>
  <w:p w:rsidR="00000000" w:rsidRDefault="005C3FFE">
    <w:pPr>
      <w:pStyle w:val="af9"/>
      <w:rPr>
        <w:rtl/>
      </w:rPr>
    </w:pPr>
    <w:r>
      <w:rPr>
        <w:rtl/>
      </w:rPr>
      <w:t>עורכים: עו"ד רון דלומי ועו"ד מנשה כהן</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5C3FFE">
      <w:r>
        <w:separator/>
      </w:r>
    </w:p>
  </w:footnote>
  <w:footnote w:type="continuationSeparator" w:id="0">
    <w:p w:rsidR="00000000" w:rsidRDefault="005C3F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5C3FFE">
    <w:pPr>
      <w:pStyle w:val="afb"/>
      <w:rPr>
        <w:b/>
        <w:bCs/>
        <w:color w:val="800080"/>
        <w:rtl/>
      </w:rPr>
    </w:pPr>
    <w:r>
      <w:rPr>
        <w:color w:val="800080"/>
        <w:rtl/>
      </w:rPr>
      <w:tab/>
    </w:r>
    <w:r>
      <w:rPr>
        <w:b/>
        <w:bCs/>
        <w:color w:val="800080"/>
        <w:rtl/>
      </w:rPr>
      <w:fldChar w:fldCharType="begin"/>
    </w:r>
    <w:r>
      <w:rPr>
        <w:b/>
        <w:bCs/>
        <w:color w:val="800080"/>
        <w:rtl/>
      </w:rPr>
      <w:instrText xml:space="preserve"> </w:instrText>
    </w:r>
    <w:r>
      <w:rPr>
        <w:b/>
        <w:bCs/>
        <w:color w:val="800080"/>
      </w:rPr>
      <w:instrText>STYLEREF "Heading 1" \* MERGEFORMAT</w:instrText>
    </w:r>
    <w:r>
      <w:rPr>
        <w:b/>
        <w:bCs/>
        <w:color w:val="800080"/>
        <w:rtl/>
      </w:rPr>
      <w:instrText xml:space="preserve"> </w:instrText>
    </w:r>
    <w:r>
      <w:rPr>
        <w:b/>
        <w:bCs/>
        <w:color w:val="800080"/>
        <w:rtl/>
      </w:rPr>
      <w:fldChar w:fldCharType="separate"/>
    </w:r>
    <w:r>
      <w:rPr>
        <w:rFonts w:hint="cs"/>
        <w:noProof/>
        <w:color w:val="800080"/>
        <w:rtl/>
      </w:rPr>
      <w:t xml:space="preserve">שגיאה! השתמש בכרטיסיה בית כדי להחיל </w:t>
    </w:r>
    <w:r>
      <w:rPr>
        <w:rFonts w:hint="cs"/>
        <w:noProof/>
        <w:color w:val="800080"/>
      </w:rPr>
      <w:t>Heading 1</w:t>
    </w:r>
    <w:r>
      <w:rPr>
        <w:rFonts w:hint="cs"/>
        <w:noProof/>
        <w:color w:val="800080"/>
        <w:rtl/>
      </w:rPr>
      <w:t xml:space="preserve"> על הטקסט שברצונך שיופיע כאן.</w:t>
    </w:r>
    <w:r>
      <w:rPr>
        <w:b/>
        <w:bCs/>
        <w:color w:val="800080"/>
        <w:rtl/>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FFE"/>
    <w:rsid w:val="005C3F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4467AC1-C295-48A2-8D4D-E4B114A05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bidi/>
      <w:spacing w:after="0" w:line="240" w:lineRule="auto"/>
    </w:pPr>
    <w:rPr>
      <w:rFonts w:ascii="Times New Roman" w:hAnsi="Times New Roman" w:cs="David"/>
      <w:szCs w:val="24"/>
    </w:rPr>
  </w:style>
  <w:style w:type="paragraph" w:styleId="1">
    <w:name w:val="heading 1"/>
    <w:basedOn w:val="a"/>
    <w:next w:val="a0"/>
    <w:link w:val="10"/>
    <w:uiPriority w:val="99"/>
    <w:qFormat/>
    <w:pPr>
      <w:keepNext/>
      <w:spacing w:before="120" w:after="240"/>
      <w:jc w:val="center"/>
      <w:outlineLvl w:val="0"/>
    </w:pPr>
    <w:rPr>
      <w:rFonts w:ascii="Arial" w:hAnsi="Arial"/>
      <w:b/>
      <w:bCs/>
      <w:color w:val="800000"/>
      <w:kern w:val="28"/>
      <w:sz w:val="32"/>
      <w:szCs w:val="36"/>
    </w:rPr>
  </w:style>
  <w:style w:type="character" w:default="1" w:styleId="a1">
    <w:name w:val="Default Paragraph Font"/>
    <w:uiPriority w:val="99"/>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כותרת 1 תו"/>
    <w:basedOn w:val="a1"/>
    <w:link w:val="1"/>
    <w:uiPriority w:val="9"/>
    <w:rPr>
      <w:rFonts w:asciiTheme="majorHAnsi" w:eastAsiaTheme="majorEastAsia" w:hAnsiTheme="majorHAnsi" w:cstheme="majorBidi"/>
      <w:b/>
      <w:bCs/>
      <w:kern w:val="32"/>
      <w:sz w:val="32"/>
      <w:szCs w:val="32"/>
    </w:rPr>
  </w:style>
  <w:style w:type="paragraph" w:customStyle="1" w:styleId="a0">
    <w:name w:val="#איזכור"/>
    <w:uiPriority w:val="99"/>
    <w:pPr>
      <w:tabs>
        <w:tab w:val="left" w:pos="2886"/>
        <w:tab w:val="left" w:pos="3918"/>
        <w:tab w:val="left" w:pos="5477"/>
      </w:tabs>
      <w:autoSpaceDE w:val="0"/>
      <w:autoSpaceDN w:val="0"/>
      <w:bidi/>
      <w:spacing w:after="0" w:line="180" w:lineRule="exact"/>
      <w:ind w:left="284" w:right="2177"/>
      <w:jc w:val="both"/>
    </w:pPr>
    <w:rPr>
      <w:rFonts w:ascii="Times New Roman" w:hAnsi="Times New Roman" w:cs="David"/>
      <w:color w:val="008000"/>
      <w:sz w:val="14"/>
      <w:szCs w:val="16"/>
    </w:rPr>
  </w:style>
  <w:style w:type="paragraph" w:customStyle="1" w:styleId="11">
    <w:name w:val="#איזכור1"/>
    <w:basedOn w:val="a0"/>
    <w:next w:val="a"/>
    <w:uiPriority w:val="99"/>
    <w:pPr>
      <w:spacing w:line="220" w:lineRule="exact"/>
      <w:ind w:left="0" w:right="0"/>
      <w:jc w:val="center"/>
    </w:pPr>
    <w:rPr>
      <w:color w:val="auto"/>
    </w:rPr>
  </w:style>
  <w:style w:type="paragraph" w:customStyle="1" w:styleId="a4">
    <w:name w:val="#הגדרות"/>
    <w:uiPriority w:val="99"/>
    <w:pPr>
      <w:autoSpaceDE w:val="0"/>
      <w:autoSpaceDN w:val="0"/>
      <w:bidi/>
      <w:spacing w:after="0" w:line="240" w:lineRule="atLeast"/>
      <w:jc w:val="both"/>
    </w:pPr>
    <w:rPr>
      <w:rFonts w:ascii="Times New Roman" w:hAnsi="Times New Roman" w:cs="David"/>
      <w:sz w:val="16"/>
      <w:szCs w:val="20"/>
    </w:rPr>
  </w:style>
  <w:style w:type="paragraph" w:customStyle="1" w:styleId="a5">
    <w:name w:val="#המשךעמ"/>
    <w:basedOn w:val="1"/>
    <w:uiPriority w:val="99"/>
    <w:pPr>
      <w:spacing w:before="5280" w:after="0"/>
      <w:outlineLvl w:val="9"/>
    </w:pPr>
    <w:rPr>
      <w:rFonts w:ascii="Times New Roman" w:hAnsi="Times New Roman"/>
      <w:sz w:val="24"/>
      <w:szCs w:val="26"/>
    </w:rPr>
  </w:style>
  <w:style w:type="paragraph" w:customStyle="1" w:styleId="12">
    <w:name w:val="#רמה1"/>
    <w:uiPriority w:val="99"/>
    <w:pPr>
      <w:tabs>
        <w:tab w:val="left" w:pos="998"/>
      </w:tabs>
      <w:autoSpaceDE w:val="0"/>
      <w:autoSpaceDN w:val="0"/>
      <w:bidi/>
      <w:spacing w:after="0" w:line="240" w:lineRule="atLeast"/>
      <w:ind w:firstLine="612"/>
      <w:jc w:val="both"/>
    </w:pPr>
    <w:rPr>
      <w:rFonts w:ascii="Times New Roman" w:hAnsi="Times New Roman" w:cs="David"/>
      <w:sz w:val="16"/>
      <w:szCs w:val="20"/>
    </w:rPr>
  </w:style>
  <w:style w:type="paragraph" w:customStyle="1" w:styleId="a6">
    <w:name w:val="#הסמכה"/>
    <w:basedOn w:val="12"/>
    <w:next w:val="a"/>
    <w:uiPriority w:val="99"/>
    <w:pPr>
      <w:spacing w:before="240"/>
    </w:pPr>
  </w:style>
  <w:style w:type="paragraph" w:customStyle="1" w:styleId="a7">
    <w:name w:val="#הערתשוליים"/>
    <w:uiPriority w:val="99"/>
    <w:pPr>
      <w:tabs>
        <w:tab w:val="left" w:pos="329"/>
        <w:tab w:val="left" w:pos="1185"/>
      </w:tabs>
      <w:autoSpaceDE w:val="0"/>
      <w:autoSpaceDN w:val="0"/>
      <w:bidi/>
      <w:spacing w:before="120" w:after="0" w:line="200" w:lineRule="exact"/>
      <w:ind w:right="329" w:hanging="329"/>
      <w:jc w:val="both"/>
    </w:pPr>
    <w:rPr>
      <w:rFonts w:ascii="Times New Roman" w:hAnsi="Times New Roman" w:cs="David"/>
      <w:sz w:val="18"/>
      <w:szCs w:val="20"/>
      <w:vertAlign w:val="superscript"/>
    </w:rPr>
  </w:style>
  <w:style w:type="paragraph" w:customStyle="1" w:styleId="a8">
    <w:name w:val="#חלק"/>
    <w:next w:val="a"/>
    <w:uiPriority w:val="99"/>
    <w:pPr>
      <w:autoSpaceDE w:val="0"/>
      <w:autoSpaceDN w:val="0"/>
      <w:bidi/>
      <w:spacing w:before="240" w:after="0" w:line="240" w:lineRule="auto"/>
      <w:jc w:val="center"/>
    </w:pPr>
    <w:rPr>
      <w:rFonts w:ascii="Times New Roman" w:hAnsi="Times New Roman" w:cs="Narkisim"/>
      <w:b/>
      <w:bCs/>
      <w:spacing w:val="12"/>
      <w:sz w:val="28"/>
      <w:szCs w:val="32"/>
    </w:rPr>
  </w:style>
  <w:style w:type="paragraph" w:customStyle="1" w:styleId="a9">
    <w:name w:val="#תאריך"/>
    <w:basedOn w:val="a6"/>
    <w:next w:val="a"/>
    <w:uiPriority w:val="99"/>
    <w:pPr>
      <w:tabs>
        <w:tab w:val="left" w:pos="1320"/>
      </w:tabs>
      <w:spacing w:before="360"/>
      <w:ind w:firstLine="0"/>
    </w:pPr>
  </w:style>
  <w:style w:type="paragraph" w:customStyle="1" w:styleId="aa">
    <w:name w:val="#חתימה"/>
    <w:basedOn w:val="a9"/>
    <w:uiPriority w:val="99"/>
    <w:pPr>
      <w:tabs>
        <w:tab w:val="left" w:pos="5573"/>
      </w:tabs>
      <w:spacing w:line="220" w:lineRule="exact"/>
      <w:jc w:val="left"/>
    </w:pPr>
  </w:style>
  <w:style w:type="paragraph" w:customStyle="1" w:styleId="ab">
    <w:name w:val="#חתימת השר"/>
    <w:uiPriority w:val="99"/>
    <w:pPr>
      <w:keepNext/>
      <w:tabs>
        <w:tab w:val="left" w:pos="651"/>
        <w:tab w:val="left" w:pos="1502"/>
        <w:tab w:val="left" w:pos="2352"/>
        <w:tab w:val="left" w:pos="3770"/>
      </w:tabs>
      <w:autoSpaceDE w:val="0"/>
      <w:autoSpaceDN w:val="0"/>
      <w:bidi/>
      <w:spacing w:before="60" w:after="0" w:line="240" w:lineRule="auto"/>
    </w:pPr>
    <w:rPr>
      <w:rFonts w:ascii="Times New Roman" w:hAnsi="Times New Roman" w:cs="David"/>
      <w:b/>
      <w:bCs/>
      <w:color w:val="800000"/>
      <w:sz w:val="16"/>
      <w:szCs w:val="20"/>
    </w:rPr>
  </w:style>
  <w:style w:type="paragraph" w:customStyle="1" w:styleId="ac">
    <w:name w:val="#חתימת ראש הרשות"/>
    <w:basedOn w:val="aa"/>
    <w:uiPriority w:val="99"/>
    <w:pPr>
      <w:keepNext/>
      <w:tabs>
        <w:tab w:val="clear" w:pos="5573"/>
        <w:tab w:val="left" w:pos="6321"/>
      </w:tabs>
      <w:spacing w:before="60"/>
      <w:ind w:right="5052"/>
      <w:jc w:val="center"/>
    </w:pPr>
    <w:rPr>
      <w:b/>
      <w:bCs/>
      <w:color w:val="800000"/>
    </w:rPr>
  </w:style>
  <w:style w:type="paragraph" w:customStyle="1" w:styleId="ad">
    <w:name w:val="#טבלאות"/>
    <w:uiPriority w:val="99"/>
    <w:pPr>
      <w:tabs>
        <w:tab w:val="center" w:pos="794"/>
        <w:tab w:val="center" w:pos="1360"/>
        <w:tab w:val="center" w:pos="2070"/>
        <w:tab w:val="center" w:pos="2920"/>
        <w:tab w:val="center" w:pos="4478"/>
        <w:tab w:val="center" w:pos="7313"/>
      </w:tabs>
      <w:autoSpaceDE w:val="0"/>
      <w:autoSpaceDN w:val="0"/>
      <w:bidi/>
      <w:spacing w:after="0" w:line="240" w:lineRule="auto"/>
      <w:jc w:val="both"/>
    </w:pPr>
    <w:rPr>
      <w:rFonts w:ascii="Times New Roman" w:hAnsi="Times New Roman" w:cs="David"/>
      <w:color w:val="FF0000"/>
      <w:sz w:val="18"/>
      <w:szCs w:val="20"/>
    </w:rPr>
  </w:style>
  <w:style w:type="paragraph" w:customStyle="1" w:styleId="-">
    <w:name w:val="#טבלאות-כותרת"/>
    <w:next w:val="ad"/>
    <w:uiPriority w:val="99"/>
    <w:pPr>
      <w:tabs>
        <w:tab w:val="center" w:pos="509"/>
        <w:tab w:val="center" w:pos="1360"/>
        <w:tab w:val="center" w:pos="2069"/>
        <w:tab w:val="center" w:pos="2919"/>
        <w:tab w:val="center" w:pos="3628"/>
        <w:tab w:val="center" w:pos="4620"/>
      </w:tabs>
      <w:autoSpaceDE w:val="0"/>
      <w:autoSpaceDN w:val="0"/>
      <w:bidi/>
      <w:spacing w:after="0" w:line="240" w:lineRule="auto"/>
      <w:jc w:val="both"/>
    </w:pPr>
    <w:rPr>
      <w:rFonts w:ascii="Times New Roman" w:hAnsi="Times New Roman" w:cs="David"/>
      <w:sz w:val="18"/>
      <w:szCs w:val="20"/>
      <w:u w:val="words"/>
    </w:rPr>
  </w:style>
  <w:style w:type="paragraph" w:customStyle="1" w:styleId="ae">
    <w:name w:val="#טבלת סכומים טור שמאלי"/>
    <w:uiPriority w:val="99"/>
    <w:pPr>
      <w:autoSpaceDE w:val="0"/>
      <w:autoSpaceDN w:val="0"/>
      <w:bidi/>
      <w:spacing w:after="0" w:line="240" w:lineRule="auto"/>
      <w:jc w:val="right"/>
    </w:pPr>
    <w:rPr>
      <w:rFonts w:ascii="Times New Roman" w:hAnsi="Times New Roman" w:cs="Miriam"/>
      <w:sz w:val="18"/>
      <w:szCs w:val="20"/>
    </w:rPr>
  </w:style>
  <w:style w:type="paragraph" w:customStyle="1" w:styleId="af">
    <w:name w:val="#כותרת טבלת סכומים"/>
    <w:next w:val="ae"/>
    <w:uiPriority w:val="99"/>
    <w:pPr>
      <w:tabs>
        <w:tab w:val="right" w:pos="8306"/>
      </w:tabs>
      <w:autoSpaceDE w:val="0"/>
      <w:autoSpaceDN w:val="0"/>
      <w:bidi/>
      <w:spacing w:before="240" w:after="120" w:line="240" w:lineRule="auto"/>
    </w:pPr>
    <w:rPr>
      <w:rFonts w:ascii="Times New Roman" w:hAnsi="Times New Roman" w:cs="Miriam"/>
      <w:sz w:val="18"/>
      <w:szCs w:val="20"/>
      <w:u w:val="words"/>
    </w:rPr>
  </w:style>
  <w:style w:type="paragraph" w:customStyle="1" w:styleId="af0">
    <w:name w:val="#כותרתסעיף"/>
    <w:next w:val="12"/>
    <w:uiPriority w:val="99"/>
    <w:pPr>
      <w:tabs>
        <w:tab w:val="left" w:pos="600"/>
      </w:tabs>
      <w:autoSpaceDE w:val="0"/>
      <w:autoSpaceDN w:val="0"/>
      <w:bidi/>
      <w:spacing w:before="230" w:after="0" w:line="240" w:lineRule="atLeast"/>
      <w:ind w:right="618" w:hanging="618"/>
      <w:jc w:val="both"/>
    </w:pPr>
    <w:rPr>
      <w:rFonts w:ascii="Times New Roman" w:hAnsi="Times New Roman" w:cs="David"/>
      <w:b/>
      <w:bCs/>
      <w:color w:val="000080"/>
      <w:spacing w:val="4"/>
      <w:sz w:val="18"/>
      <w:szCs w:val="21"/>
    </w:rPr>
  </w:style>
  <w:style w:type="paragraph" w:customStyle="1" w:styleId="af1">
    <w:name w:val="#מספר סעיף"/>
    <w:next w:val="12"/>
    <w:uiPriority w:val="99"/>
    <w:pPr>
      <w:tabs>
        <w:tab w:val="right" w:pos="624"/>
        <w:tab w:val="right" w:pos="651"/>
      </w:tabs>
      <w:autoSpaceDE w:val="0"/>
      <w:autoSpaceDN w:val="0"/>
      <w:bidi/>
      <w:spacing w:after="0" w:line="240" w:lineRule="atLeast"/>
      <w:jc w:val="both"/>
    </w:pPr>
    <w:rPr>
      <w:rFonts w:ascii="Times New Roman" w:hAnsi="Times New Roman" w:cs="David"/>
      <w:sz w:val="16"/>
      <w:szCs w:val="20"/>
    </w:rPr>
  </w:style>
  <w:style w:type="paragraph" w:customStyle="1" w:styleId="-0">
    <w:name w:val="#-סימן"/>
    <w:next w:val="af0"/>
    <w:uiPriority w:val="99"/>
    <w:pPr>
      <w:autoSpaceDE w:val="0"/>
      <w:autoSpaceDN w:val="0"/>
      <w:bidi/>
      <w:spacing w:before="160" w:after="0" w:line="240" w:lineRule="atLeast"/>
      <w:jc w:val="center"/>
    </w:pPr>
    <w:rPr>
      <w:rFonts w:ascii="Times New Roman" w:hAnsi="Times New Roman" w:cs="David"/>
      <w:color w:val="800000"/>
      <w:sz w:val="24"/>
      <w:szCs w:val="27"/>
    </w:rPr>
  </w:style>
  <w:style w:type="paragraph" w:customStyle="1" w:styleId="13">
    <w:name w:val="#סימן1"/>
    <w:basedOn w:val="-0"/>
    <w:next w:val="a4"/>
    <w:uiPriority w:val="99"/>
    <w:pPr>
      <w:spacing w:before="0"/>
    </w:pPr>
    <w:rPr>
      <w:color w:val="auto"/>
      <w:sz w:val="18"/>
      <w:szCs w:val="21"/>
    </w:rPr>
  </w:style>
  <w:style w:type="character" w:customStyle="1" w:styleId="af2">
    <w:name w:val="#עילי"/>
    <w:basedOn w:val="a1"/>
    <w:uiPriority w:val="99"/>
    <w:rPr>
      <w:rFonts w:ascii="Times New Roman" w:hAnsi="Times New Roman" w:cs="IW_David"/>
      <w:color w:val="auto"/>
      <w:position w:val="6"/>
      <w:sz w:val="12"/>
      <w:szCs w:val="12"/>
      <w:lang w:bidi="he-IL"/>
    </w:rPr>
  </w:style>
  <w:style w:type="paragraph" w:customStyle="1" w:styleId="-1">
    <w:name w:val="#-פרק"/>
    <w:next w:val="-0"/>
    <w:uiPriority w:val="99"/>
    <w:pPr>
      <w:autoSpaceDE w:val="0"/>
      <w:autoSpaceDN w:val="0"/>
      <w:bidi/>
      <w:spacing w:before="260" w:after="60" w:line="240" w:lineRule="atLeast"/>
      <w:jc w:val="center"/>
    </w:pPr>
    <w:rPr>
      <w:rFonts w:ascii="Times New Roman" w:hAnsi="Times New Roman" w:cs="David"/>
      <w:b/>
      <w:bCs/>
      <w:color w:val="000080"/>
      <w:sz w:val="24"/>
      <w:szCs w:val="28"/>
    </w:rPr>
  </w:style>
  <w:style w:type="paragraph" w:customStyle="1" w:styleId="1-">
    <w:name w:val="#רמה1-א"/>
    <w:basedOn w:val="12"/>
    <w:uiPriority w:val="99"/>
    <w:pPr>
      <w:ind w:right="1009" w:hanging="397"/>
    </w:pPr>
  </w:style>
  <w:style w:type="paragraph" w:customStyle="1" w:styleId="2">
    <w:name w:val="#רמה2"/>
    <w:uiPriority w:val="99"/>
    <w:pPr>
      <w:tabs>
        <w:tab w:val="left" w:pos="1418"/>
      </w:tabs>
      <w:autoSpaceDE w:val="0"/>
      <w:autoSpaceDN w:val="0"/>
      <w:bidi/>
      <w:spacing w:after="0" w:line="240" w:lineRule="atLeast"/>
      <w:ind w:right="998"/>
      <w:jc w:val="both"/>
    </w:pPr>
    <w:rPr>
      <w:rFonts w:ascii="Times New Roman" w:hAnsi="Times New Roman" w:cs="David"/>
      <w:sz w:val="16"/>
      <w:szCs w:val="20"/>
    </w:rPr>
  </w:style>
  <w:style w:type="paragraph" w:customStyle="1" w:styleId="3">
    <w:name w:val="#רמה3"/>
    <w:uiPriority w:val="99"/>
    <w:pPr>
      <w:tabs>
        <w:tab w:val="left" w:pos="1871"/>
      </w:tabs>
      <w:autoSpaceDE w:val="0"/>
      <w:autoSpaceDN w:val="0"/>
      <w:bidi/>
      <w:spacing w:after="0" w:line="240" w:lineRule="atLeast"/>
      <w:ind w:right="1418"/>
      <w:jc w:val="both"/>
    </w:pPr>
    <w:rPr>
      <w:rFonts w:ascii="Times New Roman" w:hAnsi="Times New Roman" w:cs="David"/>
      <w:sz w:val="16"/>
      <w:szCs w:val="20"/>
    </w:rPr>
  </w:style>
  <w:style w:type="paragraph" w:customStyle="1" w:styleId="2-">
    <w:name w:val="#רמה2-א"/>
    <w:basedOn w:val="3"/>
    <w:uiPriority w:val="99"/>
    <w:pPr>
      <w:tabs>
        <w:tab w:val="left" w:pos="1418"/>
      </w:tabs>
      <w:ind w:right="1423" w:hanging="425"/>
    </w:pPr>
  </w:style>
  <w:style w:type="paragraph" w:customStyle="1" w:styleId="3-">
    <w:name w:val="#רמה3-א"/>
    <w:basedOn w:val="3"/>
    <w:uiPriority w:val="99"/>
    <w:pPr>
      <w:tabs>
        <w:tab w:val="left" w:pos="2296"/>
      </w:tabs>
      <w:ind w:right="1872" w:hanging="454"/>
    </w:pPr>
    <w:rPr>
      <w:b/>
      <w:bCs/>
    </w:rPr>
  </w:style>
  <w:style w:type="paragraph" w:customStyle="1" w:styleId="4">
    <w:name w:val="#רמה4"/>
    <w:uiPriority w:val="99"/>
    <w:pPr>
      <w:tabs>
        <w:tab w:val="left" w:pos="2296"/>
      </w:tabs>
      <w:autoSpaceDE w:val="0"/>
      <w:autoSpaceDN w:val="0"/>
      <w:bidi/>
      <w:spacing w:after="0" w:line="240" w:lineRule="atLeast"/>
      <w:ind w:right="1871"/>
      <w:jc w:val="both"/>
    </w:pPr>
    <w:rPr>
      <w:rFonts w:ascii="Times New Roman" w:hAnsi="Times New Roman" w:cs="David"/>
      <w:sz w:val="16"/>
      <w:szCs w:val="20"/>
    </w:rPr>
  </w:style>
  <w:style w:type="paragraph" w:customStyle="1" w:styleId="4-">
    <w:name w:val="#רמה4-א"/>
    <w:basedOn w:val="4"/>
    <w:uiPriority w:val="99"/>
    <w:pPr>
      <w:tabs>
        <w:tab w:val="left" w:pos="2835"/>
      </w:tabs>
      <w:ind w:right="2325" w:hanging="454"/>
    </w:pPr>
  </w:style>
  <w:style w:type="paragraph" w:customStyle="1" w:styleId="5">
    <w:name w:val="#רמה5"/>
    <w:basedOn w:val="3"/>
    <w:uiPriority w:val="99"/>
    <w:pPr>
      <w:tabs>
        <w:tab w:val="clear" w:pos="1871"/>
        <w:tab w:val="left" w:pos="2552"/>
      </w:tabs>
      <w:ind w:right="2296"/>
    </w:pPr>
  </w:style>
  <w:style w:type="paragraph" w:customStyle="1" w:styleId="6">
    <w:name w:val="#רמה6"/>
    <w:basedOn w:val="2"/>
    <w:uiPriority w:val="99"/>
    <w:pPr>
      <w:tabs>
        <w:tab w:val="clear" w:pos="1418"/>
        <w:tab w:val="left" w:pos="3005"/>
      </w:tabs>
      <w:ind w:right="2552"/>
    </w:pPr>
  </w:style>
  <w:style w:type="paragraph" w:customStyle="1" w:styleId="14">
    <w:name w:val="#תוכןחוק1"/>
    <w:basedOn w:val="a4"/>
    <w:uiPriority w:val="99"/>
    <w:pPr>
      <w:tabs>
        <w:tab w:val="left" w:pos="6974"/>
      </w:tabs>
      <w:spacing w:after="20"/>
    </w:pPr>
    <w:rPr>
      <w:b/>
      <w:bCs/>
      <w:szCs w:val="24"/>
    </w:rPr>
  </w:style>
  <w:style w:type="paragraph" w:customStyle="1" w:styleId="20">
    <w:name w:val="#תוכןחוק2"/>
    <w:basedOn w:val="a4"/>
    <w:uiPriority w:val="99"/>
    <w:pPr>
      <w:tabs>
        <w:tab w:val="left" w:pos="6974"/>
      </w:tabs>
      <w:spacing w:after="160"/>
    </w:pPr>
    <w:rPr>
      <w:b/>
      <w:bCs/>
      <w:szCs w:val="24"/>
    </w:rPr>
  </w:style>
  <w:style w:type="paragraph" w:customStyle="1" w:styleId="af3">
    <w:name w:val="#תוכןסימ"/>
    <w:basedOn w:val="a4"/>
    <w:uiPriority w:val="99"/>
    <w:pPr>
      <w:tabs>
        <w:tab w:val="left" w:leader="dot" w:pos="6288"/>
        <w:tab w:val="left" w:pos="6429"/>
      </w:tabs>
      <w:ind w:right="885"/>
    </w:pPr>
  </w:style>
  <w:style w:type="paragraph" w:customStyle="1" w:styleId="af4">
    <w:name w:val="#תוכןפרק"/>
    <w:basedOn w:val="a4"/>
    <w:uiPriority w:val="99"/>
    <w:pPr>
      <w:tabs>
        <w:tab w:val="left" w:pos="901"/>
        <w:tab w:val="left" w:pos="6430"/>
      </w:tabs>
      <w:spacing w:before="80"/>
    </w:pPr>
    <w:rPr>
      <w:b/>
      <w:bCs/>
      <w:szCs w:val="24"/>
    </w:rPr>
  </w:style>
  <w:style w:type="paragraph" w:customStyle="1" w:styleId="af5">
    <w:name w:val="#תוכןתוספת"/>
    <w:uiPriority w:val="99"/>
    <w:pPr>
      <w:tabs>
        <w:tab w:val="left" w:pos="618"/>
        <w:tab w:val="left" w:pos="1428"/>
      </w:tabs>
      <w:autoSpaceDE w:val="0"/>
      <w:autoSpaceDN w:val="0"/>
      <w:bidi/>
      <w:spacing w:after="0" w:line="230" w:lineRule="exact"/>
      <w:ind w:right="618" w:hanging="618"/>
    </w:pPr>
    <w:rPr>
      <w:rFonts w:ascii="Arial" w:hAnsi="Arial" w:cs="David"/>
      <w:sz w:val="20"/>
      <w:szCs w:val="21"/>
    </w:rPr>
  </w:style>
  <w:style w:type="paragraph" w:customStyle="1" w:styleId="15">
    <w:name w:val="#תוכןתקנ1"/>
    <w:basedOn w:val="a4"/>
    <w:uiPriority w:val="99"/>
    <w:pPr>
      <w:tabs>
        <w:tab w:val="left" w:leader="dot" w:pos="6747"/>
        <w:tab w:val="left" w:pos="6974"/>
      </w:tabs>
      <w:spacing w:after="20"/>
    </w:pPr>
  </w:style>
  <w:style w:type="paragraph" w:customStyle="1" w:styleId="21">
    <w:name w:val="#תוכןתקנ2"/>
    <w:basedOn w:val="a4"/>
    <w:uiPriority w:val="99"/>
    <w:pPr>
      <w:tabs>
        <w:tab w:val="left" w:leader="dot" w:pos="6747"/>
        <w:tab w:val="left" w:pos="6974"/>
      </w:tabs>
      <w:spacing w:after="160"/>
    </w:pPr>
  </w:style>
  <w:style w:type="character" w:customStyle="1" w:styleId="af6">
    <w:name w:val="#תיקון"/>
    <w:uiPriority w:val="99"/>
    <w:rPr>
      <w:color w:val="auto"/>
      <w:sz w:val="14"/>
    </w:rPr>
  </w:style>
  <w:style w:type="paragraph" w:customStyle="1" w:styleId="af7">
    <w:name w:val="#תיקונים"/>
    <w:uiPriority w:val="99"/>
    <w:pPr>
      <w:autoSpaceDE w:val="0"/>
      <w:autoSpaceDN w:val="0"/>
      <w:bidi/>
      <w:spacing w:before="230" w:after="0" w:line="240" w:lineRule="atLeast"/>
    </w:pPr>
    <w:rPr>
      <w:rFonts w:ascii="Times New Roman" w:hAnsi="Times New Roman" w:cs="David"/>
      <w:color w:val="000080"/>
      <w:sz w:val="14"/>
      <w:szCs w:val="16"/>
    </w:rPr>
  </w:style>
  <w:style w:type="paragraph" w:customStyle="1" w:styleId="af8">
    <w:name w:val="#תיקוןעקיף"/>
    <w:basedOn w:val="af0"/>
    <w:uiPriority w:val="99"/>
    <w:rPr>
      <w:rFonts w:ascii="David" w:hAnsi="David"/>
      <w:b w:val="0"/>
      <w:bCs w:val="0"/>
      <w:spacing w:val="0"/>
    </w:rPr>
  </w:style>
  <w:style w:type="paragraph" w:styleId="af9">
    <w:name w:val="footer"/>
    <w:basedOn w:val="a"/>
    <w:link w:val="afa"/>
    <w:uiPriority w:val="99"/>
    <w:pPr>
      <w:tabs>
        <w:tab w:val="left" w:pos="0"/>
        <w:tab w:val="center" w:pos="4201"/>
        <w:tab w:val="right" w:pos="8312"/>
      </w:tabs>
      <w:spacing w:line="230" w:lineRule="exact"/>
      <w:jc w:val="both"/>
    </w:pPr>
    <w:rPr>
      <w:b/>
      <w:bCs/>
      <w:szCs w:val="22"/>
    </w:rPr>
  </w:style>
  <w:style w:type="character" w:customStyle="1" w:styleId="afa">
    <w:name w:val="כותרת תחתונה תו"/>
    <w:basedOn w:val="a1"/>
    <w:link w:val="af9"/>
    <w:uiPriority w:val="99"/>
    <w:semiHidden/>
    <w:rPr>
      <w:rFonts w:ascii="Times New Roman" w:hAnsi="Times New Roman" w:cs="David"/>
      <w:szCs w:val="24"/>
    </w:rPr>
  </w:style>
  <w:style w:type="paragraph" w:styleId="afb">
    <w:name w:val="header"/>
    <w:basedOn w:val="a"/>
    <w:link w:val="afc"/>
    <w:uiPriority w:val="99"/>
    <w:pPr>
      <w:tabs>
        <w:tab w:val="left" w:pos="0"/>
        <w:tab w:val="right" w:pos="8312"/>
      </w:tabs>
      <w:spacing w:line="300" w:lineRule="atLeast"/>
      <w:jc w:val="both"/>
    </w:pPr>
    <w:rPr>
      <w:u w:val="single"/>
    </w:rPr>
  </w:style>
  <w:style w:type="character" w:customStyle="1" w:styleId="afc">
    <w:name w:val="כותרת עליונה תו"/>
    <w:basedOn w:val="a1"/>
    <w:link w:val="afb"/>
    <w:uiPriority w:val="99"/>
    <w:semiHidden/>
    <w:rPr>
      <w:rFonts w:ascii="Times New Roman" w:hAnsi="Times New Roman" w:cs="David"/>
      <w:szCs w:val="24"/>
    </w:rPr>
  </w:style>
  <w:style w:type="character" w:customStyle="1" w:styleId="HebrewChar">
    <w:name w:val="Hebrew_Char"/>
    <w:uiPriority w:val="99"/>
  </w:style>
  <w:style w:type="character" w:customStyle="1" w:styleId="LatinChar">
    <w:name w:val="Latin_Char"/>
    <w:uiPriority w:val="99"/>
    <w:rPr>
      <w:rFonts w:ascii="Times New Roman" w:hAnsi="Times New Roman"/>
      <w:lang w:val="en-US"/>
    </w:rPr>
  </w:style>
  <w:style w:type="paragraph" w:customStyle="1" w:styleId="NormalPar">
    <w:name w:val="NormalPar"/>
    <w:uiPriority w:val="99"/>
    <w:pPr>
      <w:autoSpaceDE w:val="0"/>
      <w:autoSpaceDN w:val="0"/>
      <w:bidi/>
      <w:spacing w:after="0" w:line="240" w:lineRule="auto"/>
    </w:pPr>
    <w:rPr>
      <w:rFonts w:ascii="Times New Roman" w:hAnsi="Times New Roman" w:cs="David"/>
      <w:noProof/>
      <w:sz w:val="24"/>
      <w:szCs w:val="24"/>
    </w:rPr>
  </w:style>
  <w:style w:type="character" w:styleId="afd">
    <w:name w:val="page number"/>
    <w:basedOn w:val="a1"/>
    <w:uiPriority w:val="99"/>
    <w:rPr>
      <w:rFonts w:cs="David"/>
      <w:bCs/>
      <w:szCs w:val="28"/>
      <w:lang w:bidi="he-IL"/>
    </w:rPr>
  </w:style>
  <w:style w:type="paragraph" w:customStyle="1" w:styleId="1--1">
    <w:name w:val="#רמה1-א-1"/>
    <w:next w:val="2"/>
    <w:uiPriority w:val="99"/>
    <w:pPr>
      <w:tabs>
        <w:tab w:val="left" w:pos="612"/>
        <w:tab w:val="left" w:pos="998"/>
      </w:tabs>
      <w:autoSpaceDE w:val="0"/>
      <w:autoSpaceDN w:val="0"/>
      <w:bidi/>
      <w:spacing w:after="0" w:line="240" w:lineRule="atLeast"/>
      <w:ind w:right="998" w:hanging="998"/>
      <w:jc w:val="both"/>
    </w:pPr>
    <w:rPr>
      <w:rFonts w:ascii="Times New Roman" w:hAnsi="Times New Roman" w:cs="David"/>
      <w:sz w:val="16"/>
      <w:szCs w:val="20"/>
    </w:rPr>
  </w:style>
  <w:style w:type="paragraph" w:customStyle="1" w:styleId="2--1">
    <w:name w:val="#רמה2-א-1"/>
    <w:next w:val="3"/>
    <w:uiPriority w:val="99"/>
    <w:pPr>
      <w:tabs>
        <w:tab w:val="left" w:pos="1418"/>
        <w:tab w:val="left" w:pos="1792"/>
      </w:tabs>
      <w:autoSpaceDE w:val="0"/>
      <w:autoSpaceDN w:val="0"/>
      <w:bidi/>
      <w:spacing w:after="0" w:line="240" w:lineRule="atLeast"/>
      <w:ind w:right="1418" w:hanging="420"/>
      <w:jc w:val="both"/>
    </w:pPr>
    <w:rPr>
      <w:rFonts w:ascii="Times New Roman" w:hAnsi="Times New Roman" w:cs="David"/>
      <w:sz w:val="16"/>
      <w:szCs w:val="20"/>
    </w:rPr>
  </w:style>
  <w:style w:type="character" w:styleId="Hyperlink">
    <w:name w:val="Hyperlink"/>
    <w:basedOn w:val="a1"/>
    <w:uiPriority w:val="99"/>
    <w:rPr>
      <w:rFonts w:cs="David"/>
      <w:color w:val="0000FF"/>
      <w:u w:val="none"/>
      <w:lang w:bidi="he-IL"/>
    </w:rPr>
  </w:style>
  <w:style w:type="character" w:styleId="FollowedHyperlink">
    <w:name w:val="FollowedHyperlink"/>
    <w:basedOn w:val="a1"/>
    <w:uiPriority w:val="99"/>
    <w:rPr>
      <w:rFonts w:cs="David"/>
      <w:color w:val="800080"/>
      <w:u w:val="single"/>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achshavot.co.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600</Words>
  <Characters>3003</Characters>
  <Application>Microsoft Office Word</Application>
  <DocSecurity>0</DocSecurity>
  <Lines>25</Lines>
  <Paragraphs>7</Paragraphs>
  <ScaleCrop>false</ScaleCrop>
  <Company>משפחת דלומי</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חוק עזר לאור עקיבא (הריסת מבנים מסוכנים), תשכ"ד1964-</dc:title>
  <dc:subject/>
  <dc:creator>ven2word3</dc:creator>
  <cp:keywords/>
  <dc:description/>
  <cp:lastModifiedBy>חנן זולדן</cp:lastModifiedBy>
  <cp:revision>2</cp:revision>
  <cp:lastPrinted>2002-12-16T21:15:00Z</cp:lastPrinted>
  <dcterms:created xsi:type="dcterms:W3CDTF">2020-04-02T09:55:00Z</dcterms:created>
  <dcterms:modified xsi:type="dcterms:W3CDTF">2020-04-02T09:55:00Z</dcterms:modified>
</cp:coreProperties>
</file>